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5CD" w:rsidRDefault="00D075CD">
      <w:r>
        <w:rPr>
          <w:noProof/>
          <w:lang w:bidi="ar-SA"/>
        </w:rPr>
        <w:drawing>
          <wp:anchor distT="0" distB="0" distL="114300" distR="114300" simplePos="0" relativeHeight="251658240" behindDoc="1" locked="0" layoutInCell="1" allowOverlap="1">
            <wp:simplePos x="0" y="0"/>
            <wp:positionH relativeFrom="column">
              <wp:posOffset>-140970</wp:posOffset>
            </wp:positionH>
            <wp:positionV relativeFrom="paragraph">
              <wp:posOffset>-426720</wp:posOffset>
            </wp:positionV>
            <wp:extent cx="5947410" cy="838200"/>
            <wp:effectExtent l="19050" t="0" r="0" b="0"/>
            <wp:wrapNone/>
            <wp:docPr id="2" name="Picture 2" descr="INCOGGeneral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GGeneralLetterhead"/>
                    <pic:cNvPicPr>
                      <a:picLocks noChangeAspect="1" noChangeArrowheads="1"/>
                    </pic:cNvPicPr>
                  </pic:nvPicPr>
                  <pic:blipFill>
                    <a:blip r:embed="rId8" cstate="print"/>
                    <a:srcRect/>
                    <a:stretch>
                      <a:fillRect/>
                    </a:stretch>
                  </pic:blipFill>
                  <pic:spPr bwMode="auto">
                    <a:xfrm>
                      <a:off x="0" y="0"/>
                      <a:ext cx="5947410" cy="838200"/>
                    </a:xfrm>
                    <a:prstGeom prst="rect">
                      <a:avLst/>
                    </a:prstGeom>
                    <a:noFill/>
                    <a:ln w="9525">
                      <a:noFill/>
                      <a:miter lim="800000"/>
                      <a:headEnd/>
                      <a:tailEnd/>
                    </a:ln>
                  </pic:spPr>
                </pic:pic>
              </a:graphicData>
            </a:graphic>
          </wp:anchor>
        </w:drawing>
      </w:r>
    </w:p>
    <w:p w:rsidR="003329B7" w:rsidRDefault="003329B7" w:rsidP="00D075CD">
      <w:pPr>
        <w:jc w:val="right"/>
      </w:pPr>
    </w:p>
    <w:p w:rsidR="00BF1F00" w:rsidRDefault="00BF1F00" w:rsidP="00BF1F00">
      <w:pPr>
        <w:jc w:val="center"/>
        <w:rPr>
          <w:b/>
          <w:sz w:val="32"/>
        </w:rPr>
      </w:pPr>
    </w:p>
    <w:p w:rsidR="00D075CD" w:rsidRPr="00BF1F00" w:rsidRDefault="00B54CF7" w:rsidP="00BF1F00">
      <w:pPr>
        <w:jc w:val="center"/>
        <w:rPr>
          <w:b/>
          <w:sz w:val="32"/>
        </w:rPr>
      </w:pPr>
      <w:r w:rsidRPr="00BF1F00">
        <w:rPr>
          <w:b/>
          <w:sz w:val="32"/>
        </w:rPr>
        <w:t>2012</w:t>
      </w:r>
      <w:r w:rsidR="00D075CD" w:rsidRPr="00BF1F00">
        <w:rPr>
          <w:b/>
          <w:sz w:val="32"/>
        </w:rPr>
        <w:t xml:space="preserve"> Request for Proposals for the</w:t>
      </w:r>
    </w:p>
    <w:p w:rsidR="00D075CD" w:rsidRPr="00BF1F00" w:rsidRDefault="00D075CD" w:rsidP="00BF1F00">
      <w:pPr>
        <w:jc w:val="center"/>
        <w:rPr>
          <w:b/>
          <w:sz w:val="42"/>
        </w:rPr>
      </w:pPr>
      <w:r w:rsidRPr="00BF1F00">
        <w:rPr>
          <w:b/>
          <w:sz w:val="42"/>
        </w:rPr>
        <w:t>TRANSPORTATION TECHNOLOGIES:</w:t>
      </w:r>
    </w:p>
    <w:p w:rsidR="00D075CD" w:rsidRPr="00892E1E" w:rsidRDefault="00CE42BE" w:rsidP="00BF1F00">
      <w:pPr>
        <w:jc w:val="center"/>
        <w:rPr>
          <w:sz w:val="28"/>
          <w:szCs w:val="24"/>
        </w:rPr>
      </w:pPr>
      <w:r w:rsidRPr="00BF1F00">
        <w:rPr>
          <w:b/>
          <w:sz w:val="34"/>
        </w:rPr>
        <w:t>Public School District</w:t>
      </w:r>
      <w:r w:rsidR="008B07E7" w:rsidRPr="00BF1F00">
        <w:rPr>
          <w:b/>
          <w:sz w:val="34"/>
        </w:rPr>
        <w:t xml:space="preserve"> </w:t>
      </w:r>
      <w:r w:rsidR="00B54CF7" w:rsidRPr="00BF1F00">
        <w:rPr>
          <w:b/>
          <w:sz w:val="34"/>
        </w:rPr>
        <w:t xml:space="preserve">Alternative Fuel </w:t>
      </w:r>
      <w:r w:rsidR="008B07E7" w:rsidRPr="00BF1F00">
        <w:rPr>
          <w:b/>
          <w:sz w:val="34"/>
        </w:rPr>
        <w:t>Infrastructure Development</w:t>
      </w:r>
      <w:r w:rsidR="00D075CD" w:rsidRPr="00BF1F00">
        <w:rPr>
          <w:b/>
          <w:sz w:val="34"/>
        </w:rPr>
        <w:br/>
      </w:r>
    </w:p>
    <w:p w:rsidR="00D075CD" w:rsidRPr="00892E1E" w:rsidRDefault="00D075CD" w:rsidP="00D075CD">
      <w:pPr>
        <w:jc w:val="center"/>
        <w:rPr>
          <w:rFonts w:cstheme="minorHAnsi"/>
          <w:sz w:val="28"/>
        </w:rPr>
      </w:pPr>
      <w:r w:rsidRPr="00892E1E">
        <w:rPr>
          <w:rFonts w:cstheme="minorHAnsi"/>
          <w:sz w:val="28"/>
        </w:rPr>
        <w:t>Issued by:</w:t>
      </w:r>
    </w:p>
    <w:p w:rsidR="00D075CD" w:rsidRPr="00892E1E" w:rsidRDefault="00D075CD" w:rsidP="00D075CD">
      <w:pPr>
        <w:jc w:val="center"/>
        <w:rPr>
          <w:rFonts w:cstheme="minorHAnsi"/>
          <w:sz w:val="28"/>
        </w:rPr>
      </w:pPr>
      <w:r w:rsidRPr="00892E1E">
        <w:rPr>
          <w:rFonts w:cstheme="minorHAnsi"/>
          <w:sz w:val="28"/>
        </w:rPr>
        <w:t>INCOG and the Tulsa Area Clean Cities Coalition</w:t>
      </w:r>
    </w:p>
    <w:p w:rsidR="00D075CD" w:rsidRPr="008937E8" w:rsidRDefault="00D06CFC" w:rsidP="00D075CD">
      <w:pPr>
        <w:jc w:val="center"/>
        <w:rPr>
          <w:rFonts w:cstheme="minorHAnsi"/>
          <w:sz w:val="28"/>
        </w:rPr>
      </w:pPr>
      <w:r w:rsidRPr="008937E8">
        <w:rPr>
          <w:rFonts w:cstheme="minorHAnsi"/>
          <w:sz w:val="28"/>
        </w:rPr>
        <w:t>December 15, 2011</w:t>
      </w:r>
    </w:p>
    <w:p w:rsidR="00D075CD" w:rsidRPr="00176669" w:rsidRDefault="00D075CD" w:rsidP="00D075CD">
      <w:pPr>
        <w:jc w:val="center"/>
        <w:rPr>
          <w:rFonts w:ascii="Tahoma" w:hAnsi="Tahoma" w:cs="Tahoma"/>
          <w:sz w:val="28"/>
        </w:rPr>
      </w:pPr>
      <w:r>
        <w:rPr>
          <w:rFonts w:ascii="Tahoma" w:hAnsi="Tahoma" w:cs="Tahoma"/>
          <w:noProof/>
          <w:sz w:val="28"/>
          <w:lang w:bidi="ar-SA"/>
        </w:rPr>
        <w:drawing>
          <wp:anchor distT="0" distB="0" distL="114300" distR="114300" simplePos="0" relativeHeight="251659264" behindDoc="0" locked="0" layoutInCell="1" allowOverlap="1">
            <wp:simplePos x="0" y="0"/>
            <wp:positionH relativeFrom="column">
              <wp:posOffset>1786890</wp:posOffset>
            </wp:positionH>
            <wp:positionV relativeFrom="paragraph">
              <wp:posOffset>198120</wp:posOffset>
            </wp:positionV>
            <wp:extent cx="2708910" cy="1295400"/>
            <wp:effectExtent l="19050" t="0" r="0" b="0"/>
            <wp:wrapNone/>
            <wp:docPr id="1" name="Picture 1" descr="G:\Air_Quality\Clean Cities\2011\Logo\Final Logo\Full Logo\TA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r_Quality\Clean Cities\2011\Logo\Final Logo\Full Logo\TACC_Logo.jpg"/>
                    <pic:cNvPicPr>
                      <a:picLocks noChangeAspect="1" noChangeArrowheads="1"/>
                    </pic:cNvPicPr>
                  </pic:nvPicPr>
                  <pic:blipFill>
                    <a:blip r:embed="rId9" cstate="print"/>
                    <a:srcRect/>
                    <a:stretch>
                      <a:fillRect/>
                    </a:stretch>
                  </pic:blipFill>
                  <pic:spPr bwMode="auto">
                    <a:xfrm>
                      <a:off x="0" y="0"/>
                      <a:ext cx="2708910" cy="1295400"/>
                    </a:xfrm>
                    <a:prstGeom prst="rect">
                      <a:avLst/>
                    </a:prstGeom>
                    <a:noFill/>
                    <a:ln w="9525">
                      <a:noFill/>
                      <a:miter lim="800000"/>
                      <a:headEnd/>
                      <a:tailEnd/>
                    </a:ln>
                  </pic:spPr>
                </pic:pic>
              </a:graphicData>
            </a:graphic>
          </wp:anchor>
        </w:drawing>
      </w:r>
    </w:p>
    <w:p w:rsidR="00D075CD" w:rsidRDefault="00D075CD" w:rsidP="00D075CD">
      <w:pPr>
        <w:jc w:val="center"/>
      </w:pPr>
    </w:p>
    <w:p w:rsidR="00D075CD" w:rsidRPr="00D075CD" w:rsidRDefault="00D075CD" w:rsidP="00D075CD"/>
    <w:p w:rsidR="00D075CD" w:rsidRDefault="00D075CD" w:rsidP="00D075CD"/>
    <w:p w:rsidR="00D075CD" w:rsidRDefault="00D075CD" w:rsidP="00D075CD">
      <w:pPr>
        <w:tabs>
          <w:tab w:val="left" w:pos="7716"/>
        </w:tabs>
      </w:pPr>
      <w:r>
        <w:tab/>
      </w:r>
    </w:p>
    <w:p w:rsidR="00D075CD" w:rsidRDefault="00D075CD" w:rsidP="008937E8">
      <w:pPr>
        <w:spacing w:after="120" w:line="240" w:lineRule="auto"/>
        <w:jc w:val="center"/>
        <w:rPr>
          <w:rFonts w:cstheme="minorHAnsi"/>
          <w:sz w:val="36"/>
        </w:rPr>
      </w:pPr>
      <w:r w:rsidRPr="00892E1E">
        <w:rPr>
          <w:rFonts w:cstheme="minorHAnsi"/>
          <w:sz w:val="36"/>
        </w:rPr>
        <w:t>Project Proposal Deadline:</w:t>
      </w:r>
    </w:p>
    <w:p w:rsidR="008937E8" w:rsidRPr="008937E8" w:rsidRDefault="008937E8" w:rsidP="008937E8">
      <w:pPr>
        <w:spacing w:after="120" w:line="240" w:lineRule="auto"/>
        <w:jc w:val="center"/>
        <w:rPr>
          <w:rFonts w:cstheme="minorHAnsi"/>
          <w:color w:val="FF0000"/>
          <w:sz w:val="36"/>
        </w:rPr>
      </w:pPr>
      <w:r w:rsidRPr="008937E8">
        <w:rPr>
          <w:rFonts w:cstheme="minorHAnsi"/>
          <w:color w:val="FF0000"/>
          <w:sz w:val="36"/>
        </w:rPr>
        <w:t>February 15, 2012</w:t>
      </w:r>
    </w:p>
    <w:p w:rsidR="002753C0" w:rsidRPr="00892E1E" w:rsidRDefault="002753C0" w:rsidP="00D075CD">
      <w:pPr>
        <w:jc w:val="center"/>
        <w:rPr>
          <w:rFonts w:cstheme="minorHAnsi"/>
          <w:sz w:val="36"/>
        </w:rPr>
      </w:pPr>
    </w:p>
    <w:p w:rsidR="002753C0" w:rsidRDefault="002753C0" w:rsidP="00D075CD">
      <w:pPr>
        <w:jc w:val="center"/>
        <w:rPr>
          <w:rFonts w:cstheme="minorHAnsi"/>
          <w:sz w:val="32"/>
        </w:rPr>
      </w:pPr>
    </w:p>
    <w:p w:rsidR="00905A61" w:rsidRDefault="00905A61" w:rsidP="00D075CD">
      <w:pPr>
        <w:jc w:val="center"/>
        <w:rPr>
          <w:rFonts w:cstheme="minorHAnsi"/>
          <w:sz w:val="32"/>
        </w:rPr>
      </w:pPr>
    </w:p>
    <w:p w:rsidR="00905A61" w:rsidRDefault="00905A61" w:rsidP="00D075CD">
      <w:pPr>
        <w:jc w:val="center"/>
        <w:rPr>
          <w:rFonts w:ascii="Tahoma" w:hAnsi="Tahoma" w:cs="Tahoma"/>
          <w:sz w:val="36"/>
        </w:rPr>
      </w:pPr>
    </w:p>
    <w:p w:rsidR="00892E1E" w:rsidRDefault="00892E1E" w:rsidP="00D075CD">
      <w:pPr>
        <w:jc w:val="center"/>
        <w:rPr>
          <w:rFonts w:ascii="Tahoma" w:hAnsi="Tahoma" w:cs="Tahoma"/>
          <w:sz w:val="36"/>
        </w:rPr>
      </w:pPr>
    </w:p>
    <w:sdt>
      <w:sdtPr>
        <w:rPr>
          <w:rFonts w:asciiTheme="minorHAnsi" w:eastAsiaTheme="minorEastAsia" w:hAnsiTheme="minorHAnsi" w:cstheme="minorBidi"/>
          <w:b w:val="0"/>
          <w:bCs w:val="0"/>
          <w:color w:val="0000FF"/>
          <w:sz w:val="36"/>
          <w:szCs w:val="36"/>
          <w:u w:val="single"/>
        </w:rPr>
        <w:id w:val="1605613"/>
        <w:docPartObj>
          <w:docPartGallery w:val="Table of Contents"/>
          <w:docPartUnique/>
        </w:docPartObj>
      </w:sdtPr>
      <w:sdtEndPr>
        <w:rPr>
          <w:sz w:val="32"/>
          <w:szCs w:val="32"/>
        </w:rPr>
      </w:sdtEndPr>
      <w:sdtContent>
        <w:p w:rsidR="00BF1F00" w:rsidRPr="00321824" w:rsidRDefault="00BF1F00" w:rsidP="00BF1F00">
          <w:pPr>
            <w:pStyle w:val="TOCHeading"/>
            <w:jc w:val="center"/>
            <w:rPr>
              <w:sz w:val="44"/>
              <w:szCs w:val="36"/>
            </w:rPr>
          </w:pPr>
          <w:r w:rsidRPr="00321824">
            <w:rPr>
              <w:sz w:val="44"/>
              <w:szCs w:val="36"/>
            </w:rPr>
            <w:t>Table of Contents</w:t>
          </w:r>
        </w:p>
        <w:p w:rsidR="00321824" w:rsidRPr="00321824" w:rsidRDefault="00D5166E">
          <w:pPr>
            <w:pStyle w:val="TOC1"/>
            <w:tabs>
              <w:tab w:val="right" w:leader="dot" w:pos="9350"/>
            </w:tabs>
            <w:rPr>
              <w:noProof/>
              <w:sz w:val="30"/>
              <w:lang w:bidi="ar-SA"/>
            </w:rPr>
          </w:pPr>
          <w:r w:rsidRPr="00321824">
            <w:rPr>
              <w:sz w:val="40"/>
              <w:szCs w:val="32"/>
            </w:rPr>
            <w:fldChar w:fldCharType="begin"/>
          </w:r>
          <w:r w:rsidR="00BF1F00" w:rsidRPr="00321824">
            <w:rPr>
              <w:sz w:val="40"/>
              <w:szCs w:val="32"/>
            </w:rPr>
            <w:instrText xml:space="preserve"> TOC \o "1-3" \h \z \u </w:instrText>
          </w:r>
          <w:r w:rsidRPr="00321824">
            <w:rPr>
              <w:sz w:val="40"/>
              <w:szCs w:val="32"/>
            </w:rPr>
            <w:fldChar w:fldCharType="separate"/>
          </w:r>
          <w:hyperlink w:anchor="_Toc311732591" w:history="1">
            <w:r w:rsidR="00321824" w:rsidRPr="00321824">
              <w:rPr>
                <w:rStyle w:val="Hyperlink"/>
                <w:noProof/>
                <w:sz w:val="30"/>
              </w:rPr>
              <w:t>Funding Opportunity</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_Toc311732591 \h </w:instrText>
            </w:r>
            <w:r w:rsidRPr="00321824">
              <w:rPr>
                <w:noProof/>
                <w:webHidden/>
                <w:sz w:val="30"/>
              </w:rPr>
            </w:r>
            <w:r w:rsidRPr="00321824">
              <w:rPr>
                <w:noProof/>
                <w:webHidden/>
                <w:sz w:val="30"/>
              </w:rPr>
              <w:fldChar w:fldCharType="separate"/>
            </w:r>
            <w:r w:rsidR="00321824" w:rsidRPr="00321824">
              <w:rPr>
                <w:noProof/>
                <w:webHidden/>
                <w:sz w:val="30"/>
              </w:rPr>
              <w:t>5</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2" w:history="1">
            <w:r w:rsidR="00321824" w:rsidRPr="00321824">
              <w:rPr>
                <w:rStyle w:val="Hyperlink"/>
                <w:noProof/>
                <w:sz w:val="30"/>
              </w:rPr>
              <w:t>Background</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_Toc311732592 \h </w:instrText>
            </w:r>
            <w:r w:rsidRPr="00321824">
              <w:rPr>
                <w:noProof/>
                <w:webHidden/>
                <w:sz w:val="30"/>
              </w:rPr>
            </w:r>
            <w:r w:rsidRPr="00321824">
              <w:rPr>
                <w:noProof/>
                <w:webHidden/>
                <w:sz w:val="30"/>
              </w:rPr>
              <w:fldChar w:fldCharType="separate"/>
            </w:r>
            <w:r w:rsidR="00321824" w:rsidRPr="00321824">
              <w:rPr>
                <w:noProof/>
                <w:webHidden/>
                <w:sz w:val="30"/>
              </w:rPr>
              <w:t>5</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3" w:history="1">
            <w:r w:rsidR="00321824" w:rsidRPr="00321824">
              <w:rPr>
                <w:rStyle w:val="Hyperlink"/>
                <w:noProof/>
                <w:sz w:val="30"/>
              </w:rPr>
              <w:t>General Information</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_Toc311732593 \h </w:instrText>
            </w:r>
            <w:r w:rsidRPr="00321824">
              <w:rPr>
                <w:noProof/>
                <w:webHidden/>
                <w:sz w:val="30"/>
              </w:rPr>
            </w:r>
            <w:r w:rsidRPr="00321824">
              <w:rPr>
                <w:noProof/>
                <w:webHidden/>
                <w:sz w:val="30"/>
              </w:rPr>
              <w:fldChar w:fldCharType="separate"/>
            </w:r>
            <w:r w:rsidR="00321824" w:rsidRPr="00321824">
              <w:rPr>
                <w:noProof/>
                <w:webHidden/>
                <w:sz w:val="30"/>
              </w:rPr>
              <w:t>5</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4" w:history="1">
            <w:r w:rsidR="00321824" w:rsidRPr="00321824">
              <w:rPr>
                <w:rStyle w:val="Hyperlink"/>
                <w:noProof/>
                <w:sz w:val="30"/>
              </w:rPr>
              <w:t>Who Can Apply?</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_Toc311732594 \h </w:instrText>
            </w:r>
            <w:r w:rsidRPr="00321824">
              <w:rPr>
                <w:noProof/>
                <w:webHidden/>
                <w:sz w:val="30"/>
              </w:rPr>
            </w:r>
            <w:r w:rsidRPr="00321824">
              <w:rPr>
                <w:noProof/>
                <w:webHidden/>
                <w:sz w:val="30"/>
              </w:rPr>
              <w:fldChar w:fldCharType="separate"/>
            </w:r>
            <w:r w:rsidR="00321824" w:rsidRPr="00321824">
              <w:rPr>
                <w:noProof/>
                <w:webHidden/>
                <w:sz w:val="30"/>
              </w:rPr>
              <w:t>6</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5" w:history="1">
            <w:r w:rsidR="00321824" w:rsidRPr="00321824">
              <w:rPr>
                <w:rStyle w:val="Hyperlink"/>
                <w:noProof/>
                <w:sz w:val="30"/>
              </w:rPr>
              <w:t>Project Categories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_Toc311732595 \h </w:instrText>
            </w:r>
            <w:r w:rsidRPr="00321824">
              <w:rPr>
                <w:noProof/>
                <w:webHidden/>
                <w:sz w:val="30"/>
              </w:rPr>
            </w:r>
            <w:r w:rsidRPr="00321824">
              <w:rPr>
                <w:noProof/>
                <w:webHidden/>
                <w:sz w:val="30"/>
              </w:rPr>
              <w:fldChar w:fldCharType="separate"/>
            </w:r>
            <w:r w:rsidR="00321824" w:rsidRPr="00321824">
              <w:rPr>
                <w:noProof/>
                <w:webHidden/>
                <w:sz w:val="30"/>
              </w:rPr>
              <w:t>6</w:t>
            </w:r>
            <w:r w:rsidRPr="00321824">
              <w:rPr>
                <w:noProof/>
                <w:webHidden/>
                <w:sz w:val="30"/>
              </w:rPr>
              <w:fldChar w:fldCharType="end"/>
            </w:r>
          </w:hyperlink>
        </w:p>
        <w:p w:rsidR="00321824" w:rsidRPr="00321824" w:rsidRDefault="00D5166E">
          <w:pPr>
            <w:pStyle w:val="TOC1"/>
            <w:tabs>
              <w:tab w:val="right" w:leader="dot" w:pos="9350"/>
            </w:tabs>
            <w:rPr>
              <w:noProof/>
              <w:sz w:val="30"/>
              <w:lang w:bidi="ar-SA"/>
            </w:rPr>
          </w:pPr>
          <w:hyperlink w:anchor="_Toc311732596" w:history="1">
            <w:r w:rsidR="00321824" w:rsidRPr="00321824">
              <w:rPr>
                <w:rStyle w:val="Hyperlink"/>
                <w:noProof/>
                <w:sz w:val="30"/>
              </w:rPr>
              <w:t>Funding Ratios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_Toc311732596 \h </w:instrText>
            </w:r>
            <w:r w:rsidRPr="00321824">
              <w:rPr>
                <w:noProof/>
                <w:webHidden/>
                <w:sz w:val="30"/>
              </w:rPr>
            </w:r>
            <w:r w:rsidRPr="00321824">
              <w:rPr>
                <w:noProof/>
                <w:webHidden/>
                <w:sz w:val="30"/>
              </w:rPr>
              <w:fldChar w:fldCharType="separate"/>
            </w:r>
            <w:r w:rsidR="00321824" w:rsidRPr="00321824">
              <w:rPr>
                <w:noProof/>
                <w:webHidden/>
                <w:sz w:val="30"/>
              </w:rPr>
              <w:t>6</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7" w:history="1">
            <w:r w:rsidR="00321824" w:rsidRPr="00321824">
              <w:rPr>
                <w:rStyle w:val="Hyperlink"/>
                <w:noProof/>
                <w:sz w:val="30"/>
              </w:rPr>
              <w:t>Alternative Fuel Infrastructure Projects: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_Toc311732597 \h </w:instrText>
            </w:r>
            <w:r w:rsidRPr="00321824">
              <w:rPr>
                <w:noProof/>
                <w:webHidden/>
                <w:sz w:val="30"/>
              </w:rPr>
            </w:r>
            <w:r w:rsidRPr="00321824">
              <w:rPr>
                <w:noProof/>
                <w:webHidden/>
                <w:sz w:val="30"/>
              </w:rPr>
              <w:fldChar w:fldCharType="separate"/>
            </w:r>
            <w:r w:rsidR="00321824" w:rsidRPr="00321824">
              <w:rPr>
                <w:noProof/>
                <w:webHidden/>
                <w:sz w:val="30"/>
              </w:rPr>
              <w:t>6</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8" w:history="1">
            <w:r w:rsidR="00321824" w:rsidRPr="00321824">
              <w:rPr>
                <w:rStyle w:val="Hyperlink"/>
                <w:noProof/>
                <w:sz w:val="30"/>
              </w:rPr>
              <w:t>Utilization of Funds and Project Timeline</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_Toc311732598 \h </w:instrText>
            </w:r>
            <w:r w:rsidRPr="00321824">
              <w:rPr>
                <w:noProof/>
                <w:webHidden/>
                <w:sz w:val="30"/>
              </w:rPr>
            </w:r>
            <w:r w:rsidRPr="00321824">
              <w:rPr>
                <w:noProof/>
                <w:webHidden/>
                <w:sz w:val="30"/>
              </w:rPr>
              <w:fldChar w:fldCharType="separate"/>
            </w:r>
            <w:r w:rsidR="00321824" w:rsidRPr="00321824">
              <w:rPr>
                <w:noProof/>
                <w:webHidden/>
                <w:sz w:val="30"/>
              </w:rPr>
              <w:t>7</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599" w:history="1">
            <w:r w:rsidR="00321824" w:rsidRPr="00321824">
              <w:rPr>
                <w:rStyle w:val="Hyperlink"/>
                <w:noProof/>
                <w:sz w:val="30"/>
              </w:rPr>
              <w:t>Limitations on Funds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_Toc311732599 \h </w:instrText>
            </w:r>
            <w:r w:rsidRPr="00321824">
              <w:rPr>
                <w:noProof/>
                <w:webHidden/>
                <w:sz w:val="30"/>
              </w:rPr>
            </w:r>
            <w:r w:rsidRPr="00321824">
              <w:rPr>
                <w:noProof/>
                <w:webHidden/>
                <w:sz w:val="30"/>
              </w:rPr>
              <w:fldChar w:fldCharType="separate"/>
            </w:r>
            <w:r w:rsidR="00321824" w:rsidRPr="00321824">
              <w:rPr>
                <w:noProof/>
                <w:webHidden/>
                <w:sz w:val="30"/>
              </w:rPr>
              <w:t>7</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600" w:history="1">
            <w:r w:rsidR="00321824" w:rsidRPr="00321824">
              <w:rPr>
                <w:rStyle w:val="Hyperlink"/>
                <w:noProof/>
                <w:sz w:val="30"/>
              </w:rPr>
              <w:t>Evaluation and Project Scoring</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_Toc311732600 \h </w:instrText>
            </w:r>
            <w:r w:rsidRPr="00321824">
              <w:rPr>
                <w:noProof/>
                <w:webHidden/>
                <w:sz w:val="30"/>
              </w:rPr>
            </w:r>
            <w:r w:rsidRPr="00321824">
              <w:rPr>
                <w:noProof/>
                <w:webHidden/>
                <w:sz w:val="30"/>
              </w:rPr>
              <w:fldChar w:fldCharType="separate"/>
            </w:r>
            <w:r w:rsidR="00321824" w:rsidRPr="00321824">
              <w:rPr>
                <w:noProof/>
                <w:webHidden/>
                <w:sz w:val="30"/>
              </w:rPr>
              <w:t>7</w:t>
            </w:r>
            <w:r w:rsidRPr="00321824">
              <w:rPr>
                <w:noProof/>
                <w:webHidden/>
                <w:sz w:val="30"/>
              </w:rPr>
              <w:fldChar w:fldCharType="end"/>
            </w:r>
          </w:hyperlink>
        </w:p>
        <w:p w:rsidR="00321824" w:rsidRPr="00321824" w:rsidRDefault="00D5166E">
          <w:pPr>
            <w:pStyle w:val="TOC1"/>
            <w:tabs>
              <w:tab w:val="right" w:leader="dot" w:pos="9350"/>
            </w:tabs>
            <w:rPr>
              <w:noProof/>
              <w:sz w:val="30"/>
              <w:lang w:bidi="ar-SA"/>
            </w:rPr>
          </w:pPr>
          <w:hyperlink w:anchor="_Toc311732601" w:history="1">
            <w:r w:rsidR="00321824" w:rsidRPr="00321824">
              <w:rPr>
                <w:rStyle w:val="Hyperlink"/>
                <w:noProof/>
                <w:sz w:val="30"/>
              </w:rPr>
              <w:t>Description of Eligible Projects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_Toc311732601 \h </w:instrText>
            </w:r>
            <w:r w:rsidRPr="00321824">
              <w:rPr>
                <w:noProof/>
                <w:webHidden/>
                <w:sz w:val="30"/>
              </w:rPr>
            </w:r>
            <w:r w:rsidRPr="00321824">
              <w:rPr>
                <w:noProof/>
                <w:webHidden/>
                <w:sz w:val="30"/>
              </w:rPr>
              <w:fldChar w:fldCharType="separate"/>
            </w:r>
            <w:r w:rsidR="00321824" w:rsidRPr="00321824">
              <w:rPr>
                <w:noProof/>
                <w:webHidden/>
                <w:sz w:val="30"/>
              </w:rPr>
              <w:t>8</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602" w:history="1">
            <w:r w:rsidR="00321824" w:rsidRPr="00321824">
              <w:rPr>
                <w:rStyle w:val="Hyperlink"/>
                <w:noProof/>
                <w:sz w:val="30"/>
              </w:rPr>
              <w:t>Alternative Fuel Infrastructure</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_Toc311732602 \h </w:instrText>
            </w:r>
            <w:r w:rsidRPr="00321824">
              <w:rPr>
                <w:noProof/>
                <w:webHidden/>
                <w:sz w:val="30"/>
              </w:rPr>
            </w:r>
            <w:r w:rsidRPr="00321824">
              <w:rPr>
                <w:noProof/>
                <w:webHidden/>
                <w:sz w:val="30"/>
              </w:rPr>
              <w:fldChar w:fldCharType="separate"/>
            </w:r>
            <w:r w:rsidR="00321824" w:rsidRPr="00321824">
              <w:rPr>
                <w:noProof/>
                <w:webHidden/>
                <w:sz w:val="30"/>
              </w:rPr>
              <w:t>8</w:t>
            </w:r>
            <w:r w:rsidRPr="00321824">
              <w:rPr>
                <w:noProof/>
                <w:webHidden/>
                <w:sz w:val="30"/>
              </w:rPr>
              <w:fldChar w:fldCharType="end"/>
            </w:r>
          </w:hyperlink>
        </w:p>
        <w:p w:rsidR="00321824" w:rsidRPr="00321824" w:rsidRDefault="00D5166E">
          <w:pPr>
            <w:pStyle w:val="TOC1"/>
            <w:tabs>
              <w:tab w:val="right" w:leader="dot" w:pos="9350"/>
            </w:tabs>
            <w:rPr>
              <w:noProof/>
              <w:sz w:val="30"/>
              <w:lang w:bidi="ar-SA"/>
            </w:rPr>
          </w:pPr>
          <w:hyperlink w:anchor="_Toc311732603" w:history="1">
            <w:r w:rsidR="00321824" w:rsidRPr="00321824">
              <w:rPr>
                <w:rStyle w:val="Hyperlink"/>
                <w:noProof/>
                <w:sz w:val="30"/>
              </w:rPr>
              <w:t>Project Proposal Format and Application Components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_Toc311732603 \h </w:instrText>
            </w:r>
            <w:r w:rsidRPr="00321824">
              <w:rPr>
                <w:noProof/>
                <w:webHidden/>
                <w:sz w:val="30"/>
              </w:rPr>
            </w:r>
            <w:r w:rsidRPr="00321824">
              <w:rPr>
                <w:noProof/>
                <w:webHidden/>
                <w:sz w:val="30"/>
              </w:rPr>
              <w:fldChar w:fldCharType="separate"/>
            </w:r>
            <w:r w:rsidR="00321824" w:rsidRPr="00321824">
              <w:rPr>
                <w:noProof/>
                <w:webHidden/>
                <w:sz w:val="30"/>
              </w:rPr>
              <w:t>9</w:t>
            </w:r>
            <w:r w:rsidRPr="00321824">
              <w:rPr>
                <w:noProof/>
                <w:webHidden/>
                <w:sz w:val="30"/>
              </w:rPr>
              <w:fldChar w:fldCharType="end"/>
            </w:r>
          </w:hyperlink>
        </w:p>
        <w:p w:rsidR="00321824" w:rsidRPr="00321824" w:rsidRDefault="00D5166E">
          <w:pPr>
            <w:pStyle w:val="TOC1"/>
            <w:tabs>
              <w:tab w:val="right" w:leader="dot" w:pos="9350"/>
            </w:tabs>
            <w:rPr>
              <w:noProof/>
              <w:sz w:val="30"/>
              <w:lang w:bidi="ar-SA"/>
            </w:rPr>
          </w:pPr>
          <w:hyperlink w:anchor="_Toc311732604" w:history="1">
            <w:r w:rsidR="00321824" w:rsidRPr="00321824">
              <w:rPr>
                <w:rStyle w:val="Hyperlink"/>
                <w:noProof/>
                <w:sz w:val="30"/>
              </w:rPr>
              <w:t>Grant Award Contract Dates and Process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_Toc311732604 \h </w:instrText>
            </w:r>
            <w:r w:rsidRPr="00321824">
              <w:rPr>
                <w:noProof/>
                <w:webHidden/>
                <w:sz w:val="30"/>
              </w:rPr>
            </w:r>
            <w:r w:rsidRPr="00321824">
              <w:rPr>
                <w:noProof/>
                <w:webHidden/>
                <w:sz w:val="30"/>
              </w:rPr>
              <w:fldChar w:fldCharType="separate"/>
            </w:r>
            <w:r w:rsidR="00321824" w:rsidRPr="00321824">
              <w:rPr>
                <w:noProof/>
                <w:webHidden/>
                <w:sz w:val="30"/>
              </w:rPr>
              <w:t>9</w:t>
            </w:r>
            <w:r w:rsidRPr="00321824">
              <w:rPr>
                <w:noProof/>
                <w:webHidden/>
                <w:sz w:val="30"/>
              </w:rPr>
              <w:fldChar w:fldCharType="end"/>
            </w:r>
          </w:hyperlink>
        </w:p>
        <w:p w:rsidR="00321824" w:rsidRPr="00321824" w:rsidRDefault="00D5166E">
          <w:pPr>
            <w:pStyle w:val="TOC1"/>
            <w:tabs>
              <w:tab w:val="right" w:leader="dot" w:pos="9350"/>
            </w:tabs>
            <w:rPr>
              <w:noProof/>
              <w:sz w:val="30"/>
              <w:lang w:bidi="ar-SA"/>
            </w:rPr>
          </w:pPr>
          <w:hyperlink w:anchor="_Toc311732605" w:history="1">
            <w:r w:rsidR="00321824" w:rsidRPr="00321824">
              <w:rPr>
                <w:rStyle w:val="Hyperlink"/>
                <w:noProof/>
                <w:sz w:val="30"/>
              </w:rPr>
              <w:t>ATTACHMENTS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_Toc311732605 \h </w:instrText>
            </w:r>
            <w:r w:rsidRPr="00321824">
              <w:rPr>
                <w:noProof/>
                <w:webHidden/>
                <w:sz w:val="30"/>
              </w:rPr>
            </w:r>
            <w:r w:rsidRPr="00321824">
              <w:rPr>
                <w:noProof/>
                <w:webHidden/>
                <w:sz w:val="30"/>
              </w:rPr>
              <w:fldChar w:fldCharType="separate"/>
            </w:r>
            <w:r w:rsidR="00321824" w:rsidRPr="00321824">
              <w:rPr>
                <w:noProof/>
                <w:webHidden/>
                <w:sz w:val="30"/>
              </w:rPr>
              <w:t>10</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606" w:history="1">
            <w:r w:rsidR="00321824" w:rsidRPr="00321824">
              <w:rPr>
                <w:rStyle w:val="Hyperlink"/>
                <w:noProof/>
                <w:sz w:val="30"/>
              </w:rPr>
              <w:t>ATTACHMENT I: Tulsa Transportation Management Area</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_Toc311732606 \h </w:instrText>
            </w:r>
            <w:r w:rsidRPr="00321824">
              <w:rPr>
                <w:noProof/>
                <w:webHidden/>
                <w:sz w:val="30"/>
              </w:rPr>
            </w:r>
            <w:r w:rsidRPr="00321824">
              <w:rPr>
                <w:noProof/>
                <w:webHidden/>
                <w:sz w:val="30"/>
              </w:rPr>
              <w:fldChar w:fldCharType="separate"/>
            </w:r>
            <w:r w:rsidR="00321824" w:rsidRPr="00321824">
              <w:rPr>
                <w:noProof/>
                <w:webHidden/>
                <w:sz w:val="30"/>
              </w:rPr>
              <w:t>11</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607" w:history="1">
            <w:r w:rsidR="00321824" w:rsidRPr="00321824">
              <w:rPr>
                <w:rStyle w:val="Hyperlink"/>
                <w:noProof/>
                <w:sz w:val="30"/>
              </w:rPr>
              <w:t>ATTACHMENT II: Eligible School Districts</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_Toc311732607 \h </w:instrText>
            </w:r>
            <w:r w:rsidRPr="00321824">
              <w:rPr>
                <w:noProof/>
                <w:webHidden/>
                <w:sz w:val="30"/>
              </w:rPr>
            </w:r>
            <w:r w:rsidRPr="00321824">
              <w:rPr>
                <w:noProof/>
                <w:webHidden/>
                <w:sz w:val="30"/>
              </w:rPr>
              <w:fldChar w:fldCharType="separate"/>
            </w:r>
            <w:r w:rsidR="00321824" w:rsidRPr="00321824">
              <w:rPr>
                <w:noProof/>
                <w:webHidden/>
                <w:sz w:val="30"/>
              </w:rPr>
              <w:t>12</w:t>
            </w:r>
            <w:r w:rsidRPr="00321824">
              <w:rPr>
                <w:noProof/>
                <w:webHidden/>
                <w:sz w:val="30"/>
              </w:rPr>
              <w:fldChar w:fldCharType="end"/>
            </w:r>
          </w:hyperlink>
        </w:p>
        <w:p w:rsidR="00321824" w:rsidRPr="00321824" w:rsidRDefault="00D5166E">
          <w:pPr>
            <w:pStyle w:val="TOC2"/>
            <w:tabs>
              <w:tab w:val="right" w:leader="dot" w:pos="9350"/>
            </w:tabs>
            <w:rPr>
              <w:noProof/>
              <w:sz w:val="30"/>
              <w:lang w:bidi="ar-SA"/>
            </w:rPr>
          </w:pPr>
          <w:hyperlink w:anchor="_Toc311732608" w:history="1">
            <w:r w:rsidR="00321824" w:rsidRPr="00321824">
              <w:rPr>
                <w:rStyle w:val="Hyperlink"/>
                <w:noProof/>
                <w:sz w:val="30"/>
              </w:rPr>
              <w:t>ATTACHMENT III: Criteria Scoring Guide</w:t>
            </w:r>
            <w:r w:rsidR="00321824" w:rsidRPr="00321824">
              <w:rPr>
                <w:noProof/>
                <w:webHidden/>
                <w:sz w:val="30"/>
              </w:rPr>
              <w:tab/>
            </w:r>
            <w:r w:rsidRPr="00321824">
              <w:rPr>
                <w:noProof/>
                <w:webHidden/>
                <w:sz w:val="30"/>
              </w:rPr>
              <w:fldChar w:fldCharType="begin"/>
            </w:r>
            <w:r w:rsidR="00321824" w:rsidRPr="00321824">
              <w:rPr>
                <w:noProof/>
                <w:webHidden/>
                <w:sz w:val="30"/>
              </w:rPr>
              <w:instrText xml:space="preserve"> PAGEREF _Toc311732608 \h </w:instrText>
            </w:r>
            <w:r w:rsidRPr="00321824">
              <w:rPr>
                <w:noProof/>
                <w:webHidden/>
                <w:sz w:val="30"/>
              </w:rPr>
            </w:r>
            <w:r w:rsidRPr="00321824">
              <w:rPr>
                <w:noProof/>
                <w:webHidden/>
                <w:sz w:val="30"/>
              </w:rPr>
              <w:fldChar w:fldCharType="separate"/>
            </w:r>
            <w:r w:rsidR="00321824" w:rsidRPr="00321824">
              <w:rPr>
                <w:noProof/>
                <w:webHidden/>
                <w:sz w:val="30"/>
              </w:rPr>
              <w:t>13</w:t>
            </w:r>
            <w:r w:rsidRPr="00321824">
              <w:rPr>
                <w:noProof/>
                <w:webHidden/>
                <w:sz w:val="30"/>
              </w:rPr>
              <w:fldChar w:fldCharType="end"/>
            </w:r>
          </w:hyperlink>
        </w:p>
        <w:p w:rsidR="00BF1F00" w:rsidRPr="00BF1F00" w:rsidRDefault="00D5166E">
          <w:pPr>
            <w:rPr>
              <w:sz w:val="32"/>
              <w:szCs w:val="32"/>
            </w:rPr>
          </w:pPr>
          <w:r w:rsidRPr="00321824">
            <w:rPr>
              <w:sz w:val="40"/>
              <w:szCs w:val="32"/>
            </w:rPr>
            <w:fldChar w:fldCharType="end"/>
          </w:r>
        </w:p>
      </w:sdtContent>
    </w:sdt>
    <w:p w:rsidR="00D075CD" w:rsidRDefault="00D075CD" w:rsidP="00D075CD">
      <w:pPr>
        <w:tabs>
          <w:tab w:val="left" w:pos="7716"/>
        </w:tabs>
      </w:pPr>
    </w:p>
    <w:p w:rsidR="00BF1F00" w:rsidRDefault="00BF1F00">
      <w:r>
        <w:br w:type="page"/>
      </w:r>
    </w:p>
    <w:p w:rsidR="00892E1E" w:rsidRDefault="00892E1E" w:rsidP="00236A5F">
      <w:pPr>
        <w:pStyle w:val="Heading1"/>
        <w:jc w:val="center"/>
      </w:pPr>
      <w:bookmarkStart w:id="0" w:name="_Toc311732591"/>
      <w:r w:rsidRPr="00892E1E">
        <w:lastRenderedPageBreak/>
        <w:t>Funding Opportunity</w:t>
      </w:r>
      <w:bookmarkEnd w:id="0"/>
    </w:p>
    <w:p w:rsidR="00892E1E" w:rsidRDefault="00892E1E" w:rsidP="00D06CFC">
      <w:pPr>
        <w:pStyle w:val="Heading2"/>
      </w:pPr>
      <w:bookmarkStart w:id="1" w:name="_Toc311732592"/>
      <w:r w:rsidRPr="004D710C">
        <w:t>Background</w:t>
      </w:r>
      <w:bookmarkEnd w:id="1"/>
    </w:p>
    <w:p w:rsidR="00C072A0" w:rsidRPr="00C072A0" w:rsidRDefault="00C072A0" w:rsidP="00C072A0">
      <w:pPr>
        <w:spacing w:after="0" w:line="240" w:lineRule="auto"/>
        <w:rPr>
          <w:color w:val="FF0000"/>
          <w:sz w:val="24"/>
          <w:szCs w:val="24"/>
        </w:rPr>
      </w:pPr>
      <w:r w:rsidRPr="00C072A0">
        <w:rPr>
          <w:sz w:val="24"/>
          <w:szCs w:val="24"/>
        </w:rPr>
        <w:t xml:space="preserve">The Congestion Mitigation and Air Quality (CMAQ) Improvement Program provides a flexible funding source for state and local governments to fund transportation projects and programs to help meet the requirements of the Clean Air Act (CAA) and its amendments. CMAQ money supports transportation projects that reduce mobile source emissions. </w:t>
      </w:r>
    </w:p>
    <w:p w:rsidR="00C072A0" w:rsidRPr="00C072A0" w:rsidRDefault="00C072A0" w:rsidP="00892E1E">
      <w:pPr>
        <w:spacing w:after="0" w:line="240" w:lineRule="auto"/>
        <w:rPr>
          <w:sz w:val="24"/>
          <w:szCs w:val="24"/>
        </w:rPr>
      </w:pPr>
    </w:p>
    <w:p w:rsidR="00892E1E" w:rsidRDefault="00892E1E" w:rsidP="00892E1E">
      <w:pPr>
        <w:spacing w:after="0" w:line="240" w:lineRule="auto"/>
        <w:rPr>
          <w:sz w:val="24"/>
          <w:szCs w:val="24"/>
        </w:rPr>
      </w:pPr>
      <w:r w:rsidRPr="00C072A0">
        <w:rPr>
          <w:sz w:val="24"/>
          <w:szCs w:val="24"/>
        </w:rPr>
        <w:t>The U.S. Department of Energy’s Clean Cities program is a voluntary, locally based, government and private industry partnership whose goal is to expand the use of alternatives to gasoline and diesel fuel, accelerate the deployment of alternative fuel vehicles and build</w:t>
      </w:r>
      <w:r w:rsidRPr="004D710C">
        <w:rPr>
          <w:sz w:val="24"/>
          <w:szCs w:val="24"/>
        </w:rPr>
        <w:t xml:space="preserve"> a local </w:t>
      </w:r>
      <w:r>
        <w:rPr>
          <w:sz w:val="24"/>
          <w:szCs w:val="24"/>
        </w:rPr>
        <w:t>alternative fuel infrastructure.</w:t>
      </w:r>
    </w:p>
    <w:p w:rsidR="00892E1E" w:rsidRPr="004D710C" w:rsidRDefault="00892E1E" w:rsidP="00892E1E">
      <w:pPr>
        <w:spacing w:after="0" w:line="240" w:lineRule="auto"/>
        <w:rPr>
          <w:sz w:val="24"/>
          <w:szCs w:val="24"/>
        </w:rPr>
      </w:pPr>
    </w:p>
    <w:p w:rsidR="00892E1E" w:rsidRDefault="00892E1E" w:rsidP="00892E1E">
      <w:pPr>
        <w:spacing w:after="0" w:line="240" w:lineRule="auto"/>
        <w:rPr>
          <w:sz w:val="24"/>
          <w:szCs w:val="24"/>
        </w:rPr>
      </w:pPr>
      <w:r w:rsidRPr="004D710C">
        <w:rPr>
          <w:sz w:val="24"/>
          <w:szCs w:val="24"/>
        </w:rPr>
        <w:t xml:space="preserve">The Clean Cities program supports the Energy Policy Act of 1992 and the Clean Air Act and its 1990 Amendments, seeks to reduce national dependence on imported oil, and promotes the creation of commercial opportunities, new jobs and businesses in the alternative fuels industry. </w:t>
      </w:r>
    </w:p>
    <w:p w:rsidR="00892E1E" w:rsidRPr="004D710C" w:rsidRDefault="00892E1E" w:rsidP="00892E1E">
      <w:pPr>
        <w:spacing w:after="0" w:line="240" w:lineRule="auto"/>
        <w:rPr>
          <w:sz w:val="24"/>
          <w:szCs w:val="24"/>
        </w:rPr>
      </w:pPr>
    </w:p>
    <w:p w:rsidR="00892E1E" w:rsidRDefault="00892E1E" w:rsidP="00892E1E">
      <w:pPr>
        <w:tabs>
          <w:tab w:val="left" w:pos="7716"/>
        </w:tabs>
        <w:spacing w:after="0" w:line="240" w:lineRule="auto"/>
        <w:rPr>
          <w:sz w:val="24"/>
          <w:szCs w:val="24"/>
        </w:rPr>
      </w:pPr>
      <w:r w:rsidRPr="004D710C">
        <w:rPr>
          <w:sz w:val="24"/>
          <w:szCs w:val="24"/>
        </w:rPr>
        <w:t>Since its 1997 designation, Tulsa Area Clean Cities’ partners and stakeholders have consistently sought to advance alternative fuel technology and the deployment of alternative fuel vehicles. The program is a catalyst for economic development in the region. The relationship all partners and stakeholders maintain is one that advances not only U.S. Department of Energy goals, but also Oklahoma commerce and economic development goals.</w:t>
      </w:r>
      <w:r w:rsidR="00C072A0">
        <w:rPr>
          <w:sz w:val="24"/>
          <w:szCs w:val="24"/>
        </w:rPr>
        <w:t xml:space="preserve"> </w:t>
      </w:r>
      <w:r w:rsidR="00C072A0" w:rsidRPr="00C072A0">
        <w:rPr>
          <w:sz w:val="24"/>
          <w:szCs w:val="24"/>
        </w:rPr>
        <w:t>Tulsa Area Clean Cities Coalition is supported by INCOG, the Oklahoma Departm</w:t>
      </w:r>
      <w:r w:rsidR="00CB562A">
        <w:rPr>
          <w:sz w:val="24"/>
          <w:szCs w:val="24"/>
        </w:rPr>
        <w:t>ent of Commerce and the U.S. Department of Energy</w:t>
      </w:r>
      <w:r w:rsidR="00C072A0" w:rsidRPr="00C072A0">
        <w:rPr>
          <w:sz w:val="24"/>
          <w:szCs w:val="24"/>
        </w:rPr>
        <w:t xml:space="preserve">.  </w:t>
      </w:r>
    </w:p>
    <w:p w:rsidR="00C072A0" w:rsidRDefault="00C072A0" w:rsidP="00892E1E">
      <w:pPr>
        <w:tabs>
          <w:tab w:val="left" w:pos="7716"/>
        </w:tabs>
        <w:spacing w:after="0" w:line="240" w:lineRule="auto"/>
        <w:rPr>
          <w:sz w:val="24"/>
          <w:szCs w:val="24"/>
        </w:rPr>
      </w:pPr>
    </w:p>
    <w:p w:rsidR="00C072A0" w:rsidRPr="00C072A0" w:rsidRDefault="00CE42BE" w:rsidP="00892E1E">
      <w:pPr>
        <w:tabs>
          <w:tab w:val="left" w:pos="7716"/>
        </w:tabs>
        <w:spacing w:after="0" w:line="240" w:lineRule="auto"/>
        <w:rPr>
          <w:sz w:val="24"/>
          <w:szCs w:val="24"/>
        </w:rPr>
      </w:pPr>
      <w:r>
        <w:rPr>
          <w:sz w:val="24"/>
          <w:szCs w:val="24"/>
        </w:rPr>
        <w:t xml:space="preserve">The CMAQ program operates on a </w:t>
      </w:r>
      <w:r w:rsidR="00C072A0">
        <w:rPr>
          <w:sz w:val="24"/>
          <w:szCs w:val="24"/>
        </w:rPr>
        <w:t xml:space="preserve">reimbursable basis. Funds are not provided until work is complete. </w:t>
      </w:r>
    </w:p>
    <w:p w:rsidR="00CE42BE" w:rsidRPr="00F46521" w:rsidRDefault="00CE42BE" w:rsidP="00D06CFC">
      <w:pPr>
        <w:pStyle w:val="Heading2"/>
      </w:pPr>
      <w:bookmarkStart w:id="2" w:name="_Toc311732593"/>
      <w:r w:rsidRPr="00F46521">
        <w:t>General Information</w:t>
      </w:r>
      <w:bookmarkEnd w:id="2"/>
      <w:r w:rsidRPr="00F46521">
        <w:t xml:space="preserve"> </w:t>
      </w:r>
    </w:p>
    <w:p w:rsidR="00F46521" w:rsidRDefault="00CE42BE" w:rsidP="00C072A0">
      <w:pPr>
        <w:tabs>
          <w:tab w:val="left" w:pos="7716"/>
        </w:tabs>
        <w:spacing w:after="0" w:line="240" w:lineRule="auto"/>
        <w:rPr>
          <w:sz w:val="24"/>
          <w:szCs w:val="24"/>
        </w:rPr>
      </w:pPr>
      <w:r>
        <w:rPr>
          <w:sz w:val="24"/>
          <w:szCs w:val="24"/>
        </w:rPr>
        <w:t>The procedures and guidelines set forth in this announcement apply to the award of CMAQ funds attributed to the Indian Nations Council of Government</w:t>
      </w:r>
      <w:r w:rsidR="00862379">
        <w:rPr>
          <w:sz w:val="24"/>
          <w:szCs w:val="24"/>
        </w:rPr>
        <w:t>s</w:t>
      </w:r>
      <w:r>
        <w:rPr>
          <w:sz w:val="24"/>
          <w:szCs w:val="24"/>
        </w:rPr>
        <w:t xml:space="preserve"> (INCOG) and the Tulsa Transportation Management Area</w:t>
      </w:r>
      <w:r w:rsidR="00CB562A">
        <w:rPr>
          <w:sz w:val="24"/>
          <w:szCs w:val="24"/>
        </w:rPr>
        <w:t xml:space="preserve"> (TTMA)</w:t>
      </w:r>
      <w:r>
        <w:rPr>
          <w:sz w:val="24"/>
          <w:szCs w:val="24"/>
        </w:rPr>
        <w:t xml:space="preserve"> for the purpose of implementing a public school</w:t>
      </w:r>
      <w:r w:rsidR="00CB562A">
        <w:rPr>
          <w:sz w:val="24"/>
          <w:szCs w:val="24"/>
        </w:rPr>
        <w:t xml:space="preserve"> district</w:t>
      </w:r>
      <w:r w:rsidR="002609C4">
        <w:rPr>
          <w:sz w:val="24"/>
          <w:szCs w:val="24"/>
        </w:rPr>
        <w:t xml:space="preserve"> alternative fuel</w:t>
      </w:r>
      <w:r>
        <w:rPr>
          <w:sz w:val="24"/>
          <w:szCs w:val="24"/>
        </w:rPr>
        <w:t xml:space="preserve"> infrastructure development grant to be administered as a competitive grant process.  INCOG will allow public school districts based in the </w:t>
      </w:r>
      <w:r w:rsidR="00CB562A" w:rsidRPr="007A5BD5">
        <w:rPr>
          <w:sz w:val="24"/>
          <w:szCs w:val="24"/>
        </w:rPr>
        <w:t>TTMA (See Attachment I</w:t>
      </w:r>
      <w:r w:rsidR="00F055F4" w:rsidRPr="007A5BD5">
        <w:rPr>
          <w:sz w:val="24"/>
          <w:szCs w:val="24"/>
        </w:rPr>
        <w:t>) to</w:t>
      </w:r>
      <w:r>
        <w:rPr>
          <w:sz w:val="24"/>
          <w:szCs w:val="24"/>
        </w:rPr>
        <w:t xml:space="preserve"> access CMAQ funds for </w:t>
      </w:r>
      <w:r w:rsidR="002609C4">
        <w:rPr>
          <w:sz w:val="24"/>
          <w:szCs w:val="24"/>
        </w:rPr>
        <w:t xml:space="preserve">alternative </w:t>
      </w:r>
      <w:r>
        <w:rPr>
          <w:sz w:val="24"/>
          <w:szCs w:val="24"/>
        </w:rPr>
        <w:t>ve</w:t>
      </w:r>
      <w:r w:rsidR="00F46521">
        <w:rPr>
          <w:sz w:val="24"/>
          <w:szCs w:val="24"/>
        </w:rPr>
        <w:t>hicle refueling infrastructure development.</w:t>
      </w:r>
    </w:p>
    <w:p w:rsidR="007B0BE0" w:rsidRDefault="007B0BE0" w:rsidP="00C072A0">
      <w:pPr>
        <w:tabs>
          <w:tab w:val="left" w:pos="7716"/>
        </w:tabs>
        <w:spacing w:after="0" w:line="240" w:lineRule="auto"/>
        <w:rPr>
          <w:sz w:val="24"/>
          <w:szCs w:val="24"/>
        </w:rPr>
      </w:pPr>
    </w:p>
    <w:p w:rsidR="007B0BE0" w:rsidRPr="007B0BE0" w:rsidRDefault="007B0BE0" w:rsidP="007B0BE0">
      <w:pPr>
        <w:tabs>
          <w:tab w:val="left" w:pos="7716"/>
        </w:tabs>
        <w:spacing w:after="0" w:line="240" w:lineRule="auto"/>
        <w:rPr>
          <w:sz w:val="24"/>
          <w:szCs w:val="24"/>
        </w:rPr>
      </w:pPr>
      <w:r w:rsidRPr="007B0BE0">
        <w:rPr>
          <w:sz w:val="24"/>
          <w:szCs w:val="24"/>
        </w:rPr>
        <w:t>The applicant cost share requirement is a minimum of 20% for all categories.</w:t>
      </w:r>
      <w:r>
        <w:rPr>
          <w:sz w:val="24"/>
          <w:szCs w:val="24"/>
        </w:rPr>
        <w:t xml:space="preserve"> </w:t>
      </w:r>
      <w:r w:rsidRPr="007B0BE0">
        <w:rPr>
          <w:sz w:val="24"/>
          <w:szCs w:val="24"/>
        </w:rPr>
        <w:t xml:space="preserve">All funded projects will be one (1) year contract grants, beginning the day of issuance.  If reimbursement requests are not submitted before the one (1) year contract end date, funds will no longer be available for that project. </w:t>
      </w:r>
    </w:p>
    <w:p w:rsidR="008D58B3" w:rsidRDefault="008D58B3" w:rsidP="00D06CFC">
      <w:pPr>
        <w:pStyle w:val="Heading2"/>
      </w:pPr>
    </w:p>
    <w:p w:rsidR="008D58B3" w:rsidRDefault="008D58B3" w:rsidP="00D06CFC">
      <w:pPr>
        <w:pStyle w:val="Heading2"/>
      </w:pPr>
    </w:p>
    <w:p w:rsidR="00CE42BE" w:rsidRDefault="00F46521" w:rsidP="00D06CFC">
      <w:pPr>
        <w:pStyle w:val="Heading2"/>
      </w:pPr>
      <w:bookmarkStart w:id="3" w:name="_Toc311732594"/>
      <w:r w:rsidRPr="00F46521">
        <w:lastRenderedPageBreak/>
        <w:t>Who Can Apply?</w:t>
      </w:r>
      <w:bookmarkEnd w:id="3"/>
      <w:r w:rsidRPr="00F46521">
        <w:t xml:space="preserve">  </w:t>
      </w:r>
    </w:p>
    <w:p w:rsidR="00F055F4" w:rsidRDefault="00862379" w:rsidP="00C072A0">
      <w:pPr>
        <w:tabs>
          <w:tab w:val="left" w:pos="7716"/>
        </w:tabs>
        <w:spacing w:after="0" w:line="240" w:lineRule="auto"/>
        <w:rPr>
          <w:color w:val="FF0000"/>
          <w:sz w:val="24"/>
          <w:szCs w:val="24"/>
        </w:rPr>
      </w:pPr>
      <w:r>
        <w:rPr>
          <w:sz w:val="24"/>
          <w:szCs w:val="24"/>
        </w:rPr>
        <w:t>Public school districts located</w:t>
      </w:r>
      <w:r w:rsidR="00CB562A">
        <w:rPr>
          <w:sz w:val="24"/>
          <w:szCs w:val="24"/>
        </w:rPr>
        <w:t xml:space="preserve"> principally within the TTMA boundaries may apply for funding for the pu</w:t>
      </w:r>
      <w:r w:rsidR="00F055F4">
        <w:rPr>
          <w:sz w:val="24"/>
          <w:szCs w:val="24"/>
        </w:rPr>
        <w:t>rpose of implementing/</w:t>
      </w:r>
      <w:r w:rsidR="00F055F4" w:rsidRPr="00BC622C">
        <w:rPr>
          <w:sz w:val="24"/>
          <w:szCs w:val="24"/>
        </w:rPr>
        <w:t xml:space="preserve">updating </w:t>
      </w:r>
      <w:r w:rsidR="002609C4">
        <w:rPr>
          <w:sz w:val="24"/>
          <w:szCs w:val="24"/>
        </w:rPr>
        <w:t xml:space="preserve">alternative </w:t>
      </w:r>
      <w:r w:rsidR="00F055F4" w:rsidRPr="00BC622C">
        <w:rPr>
          <w:sz w:val="24"/>
          <w:szCs w:val="24"/>
        </w:rPr>
        <w:t>fueling infrastructure</w:t>
      </w:r>
      <w:r w:rsidR="00BC622C" w:rsidRPr="00BC622C">
        <w:rPr>
          <w:sz w:val="24"/>
          <w:szCs w:val="24"/>
        </w:rPr>
        <w:t xml:space="preserve">. </w:t>
      </w:r>
      <w:r w:rsidR="00CB562A" w:rsidRPr="00BC622C">
        <w:rPr>
          <w:sz w:val="24"/>
          <w:szCs w:val="24"/>
        </w:rPr>
        <w:t>See Attachment I</w:t>
      </w:r>
      <w:r w:rsidR="009D70D3" w:rsidRPr="00BC622C">
        <w:rPr>
          <w:sz w:val="24"/>
          <w:szCs w:val="24"/>
        </w:rPr>
        <w:t>I</w:t>
      </w:r>
      <w:r w:rsidR="00BC622C" w:rsidRPr="00BC622C">
        <w:rPr>
          <w:sz w:val="24"/>
          <w:szCs w:val="24"/>
        </w:rPr>
        <w:t xml:space="preserve"> for a list of eligible public school districts</w:t>
      </w:r>
      <w:r w:rsidR="00F055F4" w:rsidRPr="00BC622C">
        <w:rPr>
          <w:sz w:val="24"/>
          <w:szCs w:val="24"/>
        </w:rPr>
        <w:t>.</w:t>
      </w:r>
      <w:r w:rsidR="00F055F4">
        <w:rPr>
          <w:color w:val="FF0000"/>
          <w:sz w:val="24"/>
          <w:szCs w:val="24"/>
        </w:rPr>
        <w:t xml:space="preserve"> </w:t>
      </w:r>
    </w:p>
    <w:p w:rsidR="00F055F4" w:rsidRDefault="00F055F4" w:rsidP="00C072A0">
      <w:pPr>
        <w:tabs>
          <w:tab w:val="left" w:pos="7716"/>
        </w:tabs>
        <w:spacing w:after="0" w:line="240" w:lineRule="auto"/>
        <w:rPr>
          <w:color w:val="FF0000"/>
          <w:sz w:val="24"/>
          <w:szCs w:val="24"/>
        </w:rPr>
      </w:pPr>
    </w:p>
    <w:p w:rsidR="00F055F4" w:rsidRDefault="00F055F4" w:rsidP="00C072A0">
      <w:pPr>
        <w:tabs>
          <w:tab w:val="left" w:pos="7716"/>
        </w:tabs>
        <w:spacing w:after="0" w:line="240" w:lineRule="auto"/>
        <w:rPr>
          <w:sz w:val="24"/>
          <w:szCs w:val="24"/>
        </w:rPr>
      </w:pPr>
      <w:r>
        <w:rPr>
          <w:sz w:val="24"/>
          <w:szCs w:val="24"/>
        </w:rPr>
        <w:t xml:space="preserve">Federal, state and fuel provider fleets covered under the Energy Policy Act of 1992 (EPAct 1992) are NOT eligible to receive funding under this solicitation. </w:t>
      </w:r>
    </w:p>
    <w:p w:rsidR="00F055F4" w:rsidRDefault="00F055F4" w:rsidP="00C072A0">
      <w:pPr>
        <w:tabs>
          <w:tab w:val="left" w:pos="7716"/>
        </w:tabs>
        <w:spacing w:after="0" w:line="240" w:lineRule="auto"/>
        <w:rPr>
          <w:sz w:val="24"/>
          <w:szCs w:val="24"/>
        </w:rPr>
      </w:pPr>
    </w:p>
    <w:p w:rsidR="00F055F4" w:rsidRPr="00236A5F" w:rsidRDefault="00F055F4" w:rsidP="00C072A0">
      <w:pPr>
        <w:tabs>
          <w:tab w:val="left" w:pos="7716"/>
        </w:tabs>
        <w:spacing w:after="0" w:line="240" w:lineRule="auto"/>
        <w:rPr>
          <w:sz w:val="24"/>
          <w:szCs w:val="24"/>
        </w:rPr>
      </w:pPr>
      <w:r w:rsidRPr="00F055F4">
        <w:rPr>
          <w:b/>
          <w:sz w:val="24"/>
          <w:szCs w:val="24"/>
        </w:rPr>
        <w:t>This is a reimbursement program.</w:t>
      </w:r>
      <w:r>
        <w:rPr>
          <w:b/>
          <w:sz w:val="24"/>
          <w:szCs w:val="24"/>
        </w:rPr>
        <w:t xml:space="preserve"> </w:t>
      </w:r>
      <w:r>
        <w:rPr>
          <w:sz w:val="24"/>
          <w:szCs w:val="24"/>
        </w:rPr>
        <w:t xml:space="preserve">All applicants must demonstrate an ability to fund and manage activities at the time they are undertaken. Applicants must be able to demonstrate the ability to provide required matching funds as applicable. The applicant(s) must finance the entire project until the project is completed and federal share is released for reimbursement (typically within 60 days of applicant submission of final invoice to INCOG). </w:t>
      </w:r>
    </w:p>
    <w:p w:rsidR="00F055F4" w:rsidRDefault="00F055F4" w:rsidP="00D06CFC">
      <w:pPr>
        <w:pStyle w:val="Heading2"/>
      </w:pPr>
      <w:bookmarkStart w:id="4" w:name="_Toc311732595"/>
      <w:r w:rsidRPr="00F055F4">
        <w:t>Project Categories</w:t>
      </w:r>
      <w:bookmarkEnd w:id="4"/>
    </w:p>
    <w:p w:rsidR="00F055F4" w:rsidRDefault="00F055F4" w:rsidP="00C072A0">
      <w:pPr>
        <w:tabs>
          <w:tab w:val="left" w:pos="7716"/>
        </w:tabs>
        <w:spacing w:after="0" w:line="240" w:lineRule="auto"/>
        <w:rPr>
          <w:sz w:val="24"/>
          <w:szCs w:val="24"/>
        </w:rPr>
      </w:pPr>
      <w:r>
        <w:rPr>
          <w:sz w:val="24"/>
          <w:szCs w:val="24"/>
        </w:rPr>
        <w:t>For the purposes of this CMAQ-funded grant opportunity, and in keeping with current federal guidelines as outlined in the CMAQ Final Program Guidance published by the Federal Highway Administration in Federal Register Vol. 73, No. 203, Monday, October 20, 2008, funds may be awarded</w:t>
      </w:r>
      <w:r w:rsidR="00F659F5">
        <w:rPr>
          <w:sz w:val="24"/>
          <w:szCs w:val="24"/>
        </w:rPr>
        <w:t xml:space="preserve"> in the following categories:</w:t>
      </w:r>
    </w:p>
    <w:p w:rsidR="00F659F5" w:rsidRDefault="00F659F5" w:rsidP="00C072A0">
      <w:pPr>
        <w:tabs>
          <w:tab w:val="left" w:pos="7716"/>
        </w:tabs>
        <w:spacing w:after="0" w:line="240" w:lineRule="auto"/>
        <w:rPr>
          <w:sz w:val="24"/>
          <w:szCs w:val="24"/>
        </w:rPr>
      </w:pPr>
    </w:p>
    <w:p w:rsidR="00F659F5" w:rsidRDefault="00F659F5" w:rsidP="00F659F5">
      <w:pPr>
        <w:pStyle w:val="ListParagraph"/>
        <w:numPr>
          <w:ilvl w:val="0"/>
          <w:numId w:val="2"/>
        </w:numPr>
        <w:tabs>
          <w:tab w:val="left" w:pos="7716"/>
        </w:tabs>
        <w:spacing w:after="0" w:line="240" w:lineRule="auto"/>
        <w:rPr>
          <w:sz w:val="24"/>
          <w:szCs w:val="24"/>
        </w:rPr>
      </w:pPr>
      <w:r>
        <w:rPr>
          <w:sz w:val="24"/>
          <w:szCs w:val="24"/>
        </w:rPr>
        <w:t>Alternative Fuel Refueling Infrastructure</w:t>
      </w:r>
    </w:p>
    <w:p w:rsidR="00B54CF7" w:rsidRPr="00236A5F" w:rsidRDefault="00F659F5" w:rsidP="00A771CD">
      <w:pPr>
        <w:tabs>
          <w:tab w:val="left" w:pos="7716"/>
        </w:tabs>
        <w:spacing w:before="240" w:after="0" w:line="240" w:lineRule="auto"/>
        <w:rPr>
          <w:i/>
          <w:sz w:val="24"/>
          <w:szCs w:val="24"/>
        </w:rPr>
      </w:pPr>
      <w:r w:rsidRPr="00F659F5">
        <w:rPr>
          <w:i/>
          <w:sz w:val="24"/>
          <w:szCs w:val="24"/>
        </w:rPr>
        <w:t>Please see INCOG’s</w:t>
      </w:r>
      <w:r>
        <w:rPr>
          <w:i/>
          <w:sz w:val="24"/>
          <w:szCs w:val="24"/>
        </w:rPr>
        <w:t xml:space="preserve"> CMAQ</w:t>
      </w:r>
      <w:r w:rsidRPr="00F659F5">
        <w:rPr>
          <w:i/>
          <w:sz w:val="24"/>
          <w:szCs w:val="24"/>
        </w:rPr>
        <w:t xml:space="preserve"> Transportation Technologies Public Fleet Conversion Program Grant for more project categories.</w:t>
      </w:r>
    </w:p>
    <w:p w:rsidR="00A771CD" w:rsidRDefault="00A771CD" w:rsidP="00A771CD">
      <w:pPr>
        <w:pStyle w:val="Heading1"/>
        <w:spacing w:before="0"/>
      </w:pPr>
    </w:p>
    <w:p w:rsidR="003A3977" w:rsidRPr="00236A5F" w:rsidRDefault="00F659F5" w:rsidP="00A771CD">
      <w:pPr>
        <w:pStyle w:val="Heading1"/>
        <w:spacing w:before="0"/>
      </w:pPr>
      <w:bookmarkStart w:id="5" w:name="_Toc311732596"/>
      <w:r w:rsidRPr="00F659F5">
        <w:t>Funding Ratios</w:t>
      </w:r>
      <w:bookmarkEnd w:id="5"/>
    </w:p>
    <w:p w:rsidR="00A771CD" w:rsidRPr="00A771CD" w:rsidRDefault="00A771CD" w:rsidP="00A771CD">
      <w:pPr>
        <w:pStyle w:val="Heading2"/>
        <w:spacing w:before="0"/>
        <w:rPr>
          <w:sz w:val="10"/>
        </w:rPr>
      </w:pPr>
    </w:p>
    <w:p w:rsidR="00F659F5" w:rsidRDefault="00F659F5" w:rsidP="00A771CD">
      <w:pPr>
        <w:pStyle w:val="Heading2"/>
        <w:spacing w:before="0"/>
      </w:pPr>
      <w:bookmarkStart w:id="6" w:name="_Toc311732597"/>
      <w:r>
        <w:t>Alternative Fuel Infrastructure Projects:</w:t>
      </w:r>
      <w:bookmarkEnd w:id="6"/>
    </w:p>
    <w:p w:rsidR="007B0BE0" w:rsidRPr="007B0BE0" w:rsidRDefault="00F659F5" w:rsidP="00A771CD">
      <w:pPr>
        <w:tabs>
          <w:tab w:val="left" w:pos="7716"/>
        </w:tabs>
        <w:spacing w:before="240" w:after="0" w:line="240" w:lineRule="auto"/>
        <w:rPr>
          <w:sz w:val="24"/>
          <w:szCs w:val="24"/>
        </w:rPr>
      </w:pPr>
      <w:r>
        <w:rPr>
          <w:sz w:val="24"/>
          <w:szCs w:val="24"/>
        </w:rPr>
        <w:t xml:space="preserve">Eligible public school district projects may be funded at a ratio of up to 80 percent federal funds and 20 percent local funds for installation costs and “capital investments” in alternative fuel refueling/recharging infrastructure. </w:t>
      </w:r>
      <w:r w:rsidR="007B0BE0" w:rsidRPr="007B0BE0">
        <w:rPr>
          <w:sz w:val="24"/>
          <w:szCs w:val="24"/>
        </w:rPr>
        <w:t>The applicant cost share requirement is a minimum of 20% for all categories.</w:t>
      </w:r>
    </w:p>
    <w:p w:rsidR="00274E09" w:rsidRDefault="00274E09" w:rsidP="00C072A0">
      <w:pPr>
        <w:tabs>
          <w:tab w:val="left" w:pos="7716"/>
        </w:tabs>
        <w:spacing w:after="0" w:line="240" w:lineRule="auto"/>
        <w:rPr>
          <w:sz w:val="24"/>
          <w:szCs w:val="24"/>
        </w:rPr>
      </w:pPr>
    </w:p>
    <w:p w:rsidR="00274E09" w:rsidRDefault="00274E09" w:rsidP="00C072A0">
      <w:pPr>
        <w:tabs>
          <w:tab w:val="left" w:pos="7716"/>
        </w:tabs>
        <w:spacing w:after="0" w:line="240" w:lineRule="auto"/>
        <w:rPr>
          <w:sz w:val="24"/>
          <w:szCs w:val="24"/>
          <w:u w:val="single"/>
        </w:rPr>
      </w:pPr>
      <w:r>
        <w:rPr>
          <w:sz w:val="24"/>
          <w:szCs w:val="24"/>
        </w:rPr>
        <w:t xml:space="preserve">Eligible public-private partnerships (PPP) infrastructure projects may be funded at the same ratio as public sector projects, however, </w:t>
      </w:r>
      <w:r w:rsidRPr="00274E09">
        <w:rPr>
          <w:sz w:val="24"/>
          <w:szCs w:val="24"/>
          <w:u w:val="single"/>
        </w:rPr>
        <w:t xml:space="preserve">all applicable federal and state incentives that will accrue to the private sector entity and/or any federal or state credits that may be partially or wholly transferred to the public sector must be disclosed. </w:t>
      </w:r>
    </w:p>
    <w:p w:rsidR="00236A5F" w:rsidRDefault="00236A5F" w:rsidP="00C072A0">
      <w:pPr>
        <w:tabs>
          <w:tab w:val="left" w:pos="7716"/>
        </w:tabs>
        <w:spacing w:after="0" w:line="240" w:lineRule="auto"/>
        <w:rPr>
          <w:sz w:val="24"/>
          <w:szCs w:val="24"/>
          <w:u w:val="single"/>
        </w:rPr>
      </w:pPr>
    </w:p>
    <w:p w:rsidR="00B54CF7" w:rsidRDefault="00274E09" w:rsidP="00C072A0">
      <w:pPr>
        <w:tabs>
          <w:tab w:val="left" w:pos="7716"/>
        </w:tabs>
        <w:spacing w:after="0" w:line="240" w:lineRule="auto"/>
        <w:rPr>
          <w:sz w:val="24"/>
          <w:szCs w:val="24"/>
        </w:rPr>
      </w:pPr>
      <w:r>
        <w:rPr>
          <w:sz w:val="24"/>
          <w:szCs w:val="24"/>
        </w:rPr>
        <w:t xml:space="preserve">For the purposes of the CMAQ funded grant opportunity, </w:t>
      </w:r>
      <w:r w:rsidRPr="00274E09">
        <w:rPr>
          <w:b/>
          <w:sz w:val="24"/>
          <w:szCs w:val="24"/>
        </w:rPr>
        <w:t>capital investments</w:t>
      </w:r>
      <w:r>
        <w:rPr>
          <w:b/>
          <w:sz w:val="24"/>
          <w:szCs w:val="24"/>
        </w:rPr>
        <w:t xml:space="preserve"> </w:t>
      </w:r>
      <w:r>
        <w:rPr>
          <w:sz w:val="24"/>
          <w:szCs w:val="24"/>
        </w:rPr>
        <w:t xml:space="preserve">are defined as Level 1, Level 2, and Level 3 charging point/station equipment directly related to recharging electric batteries in highway-speed, plug-in electric vehicles; or equipment directly related to the compression of gaseous fuels, and equipment directly related to the storage and dispensing </w:t>
      </w:r>
      <w:r>
        <w:rPr>
          <w:sz w:val="24"/>
          <w:szCs w:val="24"/>
        </w:rPr>
        <w:lastRenderedPageBreak/>
        <w:t xml:space="preserve">of both gaseous and liquid fuels into a motor vehicle. Capital investments exclude real estate and site development. </w:t>
      </w:r>
    </w:p>
    <w:p w:rsidR="00B54CF7" w:rsidRDefault="00B54CF7" w:rsidP="00BF1F00">
      <w:pPr>
        <w:pStyle w:val="Heading2"/>
      </w:pPr>
      <w:bookmarkStart w:id="7" w:name="_Toc311732598"/>
      <w:r>
        <w:t>Utilization of Funds and Project Timeline</w:t>
      </w:r>
      <w:bookmarkEnd w:id="7"/>
    </w:p>
    <w:p w:rsidR="00B54CF7" w:rsidRPr="003210AD" w:rsidRDefault="00B54CF7" w:rsidP="00C072A0">
      <w:pPr>
        <w:tabs>
          <w:tab w:val="left" w:pos="7716"/>
        </w:tabs>
        <w:spacing w:after="0" w:line="240" w:lineRule="auto"/>
        <w:rPr>
          <w:color w:val="FF0000"/>
          <w:sz w:val="24"/>
          <w:szCs w:val="24"/>
        </w:rPr>
      </w:pPr>
      <w:r w:rsidRPr="003210AD">
        <w:rPr>
          <w:sz w:val="24"/>
          <w:szCs w:val="24"/>
        </w:rPr>
        <w:t xml:space="preserve">The amount of CMAQ funds available under the 2012 INCOG Public School District Alternative </w:t>
      </w:r>
      <w:r w:rsidRPr="008951C4">
        <w:rPr>
          <w:sz w:val="24"/>
          <w:szCs w:val="24"/>
        </w:rPr>
        <w:t xml:space="preserve">Fuel Infrastructure Development Grant Solicitation Announcement for projects in the TTMA are </w:t>
      </w:r>
      <w:r w:rsidR="008951C4" w:rsidRPr="008951C4">
        <w:rPr>
          <w:sz w:val="24"/>
          <w:szCs w:val="24"/>
        </w:rPr>
        <w:t>$100,000</w:t>
      </w:r>
      <w:r w:rsidRPr="008951C4">
        <w:rPr>
          <w:sz w:val="24"/>
          <w:szCs w:val="24"/>
        </w:rPr>
        <w:t>.</w:t>
      </w:r>
    </w:p>
    <w:p w:rsidR="00B54CF7" w:rsidRPr="003210AD" w:rsidRDefault="00B54CF7" w:rsidP="00C072A0">
      <w:pPr>
        <w:tabs>
          <w:tab w:val="left" w:pos="7716"/>
        </w:tabs>
        <w:spacing w:after="0" w:line="240" w:lineRule="auto"/>
        <w:rPr>
          <w:color w:val="FF0000"/>
          <w:sz w:val="24"/>
          <w:szCs w:val="24"/>
        </w:rPr>
      </w:pPr>
    </w:p>
    <w:p w:rsidR="007A5BD5" w:rsidRDefault="00B54CF7" w:rsidP="007A5BD5">
      <w:pPr>
        <w:tabs>
          <w:tab w:val="left" w:pos="7716"/>
        </w:tabs>
        <w:spacing w:after="0" w:line="240" w:lineRule="auto"/>
        <w:rPr>
          <w:sz w:val="24"/>
          <w:szCs w:val="24"/>
        </w:rPr>
      </w:pPr>
      <w:r w:rsidRPr="003210AD">
        <w:rPr>
          <w:sz w:val="24"/>
          <w:szCs w:val="24"/>
        </w:rPr>
        <w:t xml:space="preserve">All awarded projects under the 2012 INCOG Public School District Alternative Fuel Infrastructure Development Grant Solicitation must be completed and invoiced with backup documentation </w:t>
      </w:r>
      <w:r w:rsidR="008951C4">
        <w:rPr>
          <w:sz w:val="24"/>
          <w:szCs w:val="24"/>
        </w:rPr>
        <w:t xml:space="preserve">as well as </w:t>
      </w:r>
      <w:r w:rsidRPr="003210AD">
        <w:rPr>
          <w:sz w:val="24"/>
          <w:szCs w:val="24"/>
        </w:rPr>
        <w:t xml:space="preserve">received by INCOG </w:t>
      </w:r>
      <w:r w:rsidR="007A5BD5" w:rsidRPr="00B520E3">
        <w:rPr>
          <w:sz w:val="24"/>
          <w:szCs w:val="24"/>
        </w:rPr>
        <w:t>no later than</w:t>
      </w:r>
      <w:r w:rsidR="007A5BD5">
        <w:rPr>
          <w:sz w:val="24"/>
          <w:szCs w:val="24"/>
        </w:rPr>
        <w:t xml:space="preserve"> one year from the signed contract date</w:t>
      </w:r>
      <w:r w:rsidR="007A5BD5" w:rsidRPr="00B520E3">
        <w:rPr>
          <w:sz w:val="24"/>
          <w:szCs w:val="24"/>
        </w:rPr>
        <w:t xml:space="preserve">. </w:t>
      </w:r>
    </w:p>
    <w:p w:rsidR="00CE42BE" w:rsidRPr="003210AD" w:rsidRDefault="00B54CF7" w:rsidP="00BF1F00">
      <w:pPr>
        <w:pStyle w:val="Heading2"/>
      </w:pPr>
      <w:bookmarkStart w:id="8" w:name="_Toc311732599"/>
      <w:r w:rsidRPr="003210AD">
        <w:t>Limitations on Funds</w:t>
      </w:r>
      <w:bookmarkEnd w:id="8"/>
    </w:p>
    <w:p w:rsidR="00B54CF7" w:rsidRPr="003210AD" w:rsidRDefault="00B54CF7" w:rsidP="00C072A0">
      <w:pPr>
        <w:tabs>
          <w:tab w:val="left" w:pos="7716"/>
        </w:tabs>
        <w:spacing w:after="0" w:line="240" w:lineRule="auto"/>
        <w:rPr>
          <w:sz w:val="24"/>
          <w:szCs w:val="24"/>
        </w:rPr>
      </w:pPr>
      <w:r w:rsidRPr="003210AD">
        <w:rPr>
          <w:sz w:val="24"/>
          <w:szCs w:val="24"/>
        </w:rPr>
        <w:t xml:space="preserve">Eligible public school districts may apply only for 2012 INCOG Public School District Alternative Fuel Infrastructure Development Grant funding for which local match funds have been </w:t>
      </w:r>
      <w:r w:rsidR="00A771CD">
        <w:rPr>
          <w:sz w:val="24"/>
          <w:szCs w:val="24"/>
        </w:rPr>
        <w:t>i</w:t>
      </w:r>
      <w:r w:rsidRPr="003210AD">
        <w:rPr>
          <w:sz w:val="24"/>
          <w:szCs w:val="24"/>
        </w:rPr>
        <w:t xml:space="preserve">dentified. Other federal grant funding or funds of federal origin </w:t>
      </w:r>
      <w:r w:rsidRPr="003210AD">
        <w:rPr>
          <w:sz w:val="24"/>
          <w:szCs w:val="24"/>
          <w:u w:val="single"/>
        </w:rPr>
        <w:t>cannot</w:t>
      </w:r>
      <w:r w:rsidRPr="003210AD">
        <w:rPr>
          <w:sz w:val="24"/>
          <w:szCs w:val="24"/>
        </w:rPr>
        <w:t xml:space="preserve"> be utilized as matching funds. Additionally, if other awards, incentive, rebates, transferred tax credit or pass-though incentives will be utilized in a project, that amount of financial assistance and its purpose </w:t>
      </w:r>
      <w:r w:rsidRPr="003210AD">
        <w:rPr>
          <w:sz w:val="24"/>
          <w:szCs w:val="24"/>
          <w:u w:val="single"/>
        </w:rPr>
        <w:t>must be disclosed.</w:t>
      </w:r>
      <w:r w:rsidRPr="003210AD">
        <w:rPr>
          <w:sz w:val="24"/>
          <w:szCs w:val="24"/>
        </w:rPr>
        <w:t xml:space="preserve"> </w:t>
      </w:r>
    </w:p>
    <w:p w:rsidR="00C072A0" w:rsidRPr="003210AD" w:rsidRDefault="00C072A0" w:rsidP="00892E1E">
      <w:pPr>
        <w:tabs>
          <w:tab w:val="left" w:pos="7716"/>
        </w:tabs>
        <w:spacing w:after="0" w:line="240" w:lineRule="auto"/>
        <w:rPr>
          <w:sz w:val="24"/>
          <w:szCs w:val="24"/>
        </w:rPr>
      </w:pPr>
    </w:p>
    <w:p w:rsidR="00B54CF7" w:rsidRPr="00236A5F" w:rsidRDefault="00B54CF7" w:rsidP="00236A5F">
      <w:pPr>
        <w:tabs>
          <w:tab w:val="left" w:pos="7716"/>
        </w:tabs>
        <w:spacing w:after="0" w:line="240" w:lineRule="auto"/>
        <w:rPr>
          <w:sz w:val="24"/>
          <w:szCs w:val="24"/>
        </w:rPr>
      </w:pPr>
      <w:r w:rsidRPr="003210AD">
        <w:rPr>
          <w:sz w:val="24"/>
          <w:szCs w:val="24"/>
        </w:rPr>
        <w:t>INCOG reserves the right to negot</w:t>
      </w:r>
      <w:r w:rsidR="00B76ABE">
        <w:rPr>
          <w:sz w:val="24"/>
          <w:szCs w:val="24"/>
        </w:rPr>
        <w:t>iate the amount of a grant award</w:t>
      </w:r>
      <w:r w:rsidRPr="003210AD">
        <w:rPr>
          <w:sz w:val="24"/>
          <w:szCs w:val="24"/>
        </w:rPr>
        <w:t xml:space="preserve">; however, the maximum amount of funding available under this solicitation announcement is </w:t>
      </w:r>
      <w:r w:rsidRPr="003210AD">
        <w:rPr>
          <w:b/>
          <w:sz w:val="24"/>
          <w:szCs w:val="24"/>
        </w:rPr>
        <w:t>$100,000.</w:t>
      </w:r>
      <w:r w:rsidRPr="003210AD">
        <w:rPr>
          <w:sz w:val="24"/>
          <w:szCs w:val="24"/>
        </w:rPr>
        <w:t xml:space="preserve"> </w:t>
      </w:r>
    </w:p>
    <w:p w:rsidR="00B54CF7" w:rsidRDefault="003210AD" w:rsidP="00BF1F00">
      <w:pPr>
        <w:pStyle w:val="Heading2"/>
      </w:pPr>
      <w:bookmarkStart w:id="9" w:name="_Toc311732600"/>
      <w:r w:rsidRPr="003210AD">
        <w:t>Evaluation and Project Scoring</w:t>
      </w:r>
      <w:bookmarkEnd w:id="9"/>
    </w:p>
    <w:p w:rsidR="003A3977" w:rsidRPr="003A3977" w:rsidRDefault="003A3977" w:rsidP="003A3977">
      <w:pPr>
        <w:tabs>
          <w:tab w:val="left" w:pos="7716"/>
        </w:tabs>
        <w:spacing w:after="0" w:line="240" w:lineRule="auto"/>
        <w:rPr>
          <w:sz w:val="24"/>
          <w:szCs w:val="24"/>
        </w:rPr>
      </w:pPr>
      <w:r w:rsidRPr="003A3977">
        <w:rPr>
          <w:sz w:val="24"/>
          <w:szCs w:val="24"/>
        </w:rPr>
        <w:t xml:space="preserve">Each proposal will be rated under a points system based on a total of </w:t>
      </w:r>
      <w:r w:rsidR="0020260F" w:rsidRPr="0020260F">
        <w:rPr>
          <w:sz w:val="24"/>
          <w:szCs w:val="24"/>
        </w:rPr>
        <w:t>40</w:t>
      </w:r>
      <w:r w:rsidR="0001028C" w:rsidRPr="0020260F">
        <w:rPr>
          <w:sz w:val="24"/>
          <w:szCs w:val="24"/>
        </w:rPr>
        <w:t xml:space="preserve"> points. </w:t>
      </w:r>
      <w:r w:rsidR="00AC5DAA" w:rsidRPr="0020260F">
        <w:rPr>
          <w:sz w:val="24"/>
          <w:szCs w:val="24"/>
        </w:rPr>
        <w:t>Bonus points can be given to those proposals utilizing available OEM vehicle technologies, proposals</w:t>
      </w:r>
      <w:r w:rsidR="00AC5DAA" w:rsidRPr="00862379">
        <w:rPr>
          <w:sz w:val="24"/>
          <w:szCs w:val="24"/>
        </w:rPr>
        <w:t xml:space="preserve"> using a “buy local” strategy, dramatically improve air quality and/or have a unique proposal.</w:t>
      </w:r>
      <w:r w:rsidR="00AC5DAA">
        <w:rPr>
          <w:sz w:val="24"/>
          <w:szCs w:val="24"/>
        </w:rPr>
        <w:t xml:space="preserve"> </w:t>
      </w:r>
      <w:r w:rsidRPr="003A3977">
        <w:rPr>
          <w:sz w:val="24"/>
          <w:szCs w:val="24"/>
        </w:rPr>
        <w:t xml:space="preserve">Awards will be made on a competitive basis.  Only complete project applications submitted by the application deadline will be considered.  A review committee consisting of INCOG staff will review each proposal and will assign points to each, based on the criteria described.  Proposals will then be ranked and funding recommendations made according to ranking.  INCOG reserves the right to reject any or all proposals or to make fewer awards than anticipated.  In appropriate circumstances, INCOG reserves the right to partially fund proposals by funding discrete portions or phases of proposed projects.  If INCOG decides to partially fund a project, it will do so in a manner that does not prejudice any applicants or affect the basis upon which the </w:t>
      </w:r>
      <w:r w:rsidR="00503A60" w:rsidRPr="003A3977">
        <w:rPr>
          <w:sz w:val="24"/>
          <w:szCs w:val="24"/>
        </w:rPr>
        <w:t>proposal</w:t>
      </w:r>
      <w:r w:rsidRPr="003A3977">
        <w:rPr>
          <w:sz w:val="24"/>
          <w:szCs w:val="24"/>
        </w:rPr>
        <w:t xml:space="preserve"> or portion thereof, was evaluated and selected for award, thereby maintaining the integrity of the competition and selection process. </w:t>
      </w:r>
    </w:p>
    <w:p w:rsidR="003210AD" w:rsidRDefault="003210AD" w:rsidP="00892E1E">
      <w:pPr>
        <w:tabs>
          <w:tab w:val="left" w:pos="7716"/>
        </w:tabs>
        <w:spacing w:after="0" w:line="240" w:lineRule="auto"/>
        <w:rPr>
          <w:b/>
          <w:sz w:val="24"/>
          <w:szCs w:val="24"/>
        </w:rPr>
      </w:pPr>
    </w:p>
    <w:p w:rsidR="003210AD" w:rsidRDefault="003210AD" w:rsidP="00892E1E">
      <w:pPr>
        <w:tabs>
          <w:tab w:val="left" w:pos="7716"/>
        </w:tabs>
        <w:spacing w:after="0" w:line="240" w:lineRule="auto"/>
        <w:rPr>
          <w:sz w:val="24"/>
          <w:szCs w:val="24"/>
        </w:rPr>
      </w:pPr>
      <w:r>
        <w:rPr>
          <w:sz w:val="24"/>
          <w:szCs w:val="24"/>
        </w:rPr>
        <w:t>Projects will be evaluated and scor</w:t>
      </w:r>
      <w:r w:rsidR="009F0818">
        <w:rPr>
          <w:sz w:val="24"/>
          <w:szCs w:val="24"/>
        </w:rPr>
        <w:t>ed according to the following 7</w:t>
      </w:r>
      <w:r>
        <w:rPr>
          <w:sz w:val="24"/>
          <w:szCs w:val="24"/>
        </w:rPr>
        <w:t xml:space="preserve"> criteria:</w:t>
      </w:r>
    </w:p>
    <w:p w:rsidR="009F0818" w:rsidRDefault="009F0818" w:rsidP="009F0818">
      <w:pPr>
        <w:pStyle w:val="ListParagraph"/>
        <w:numPr>
          <w:ilvl w:val="0"/>
          <w:numId w:val="4"/>
        </w:numPr>
        <w:tabs>
          <w:tab w:val="left" w:pos="7716"/>
        </w:tabs>
        <w:spacing w:after="0" w:line="240" w:lineRule="auto"/>
        <w:rPr>
          <w:sz w:val="24"/>
          <w:szCs w:val="24"/>
        </w:rPr>
      </w:pPr>
      <w:r>
        <w:rPr>
          <w:sz w:val="24"/>
          <w:szCs w:val="24"/>
        </w:rPr>
        <w:t xml:space="preserve">Alternative fuel infrastructure accessibility </w:t>
      </w:r>
    </w:p>
    <w:p w:rsidR="009F0818" w:rsidRDefault="009F0818" w:rsidP="009F0818">
      <w:pPr>
        <w:pStyle w:val="ListParagraph"/>
        <w:numPr>
          <w:ilvl w:val="0"/>
          <w:numId w:val="4"/>
        </w:numPr>
        <w:tabs>
          <w:tab w:val="left" w:pos="7716"/>
        </w:tabs>
        <w:spacing w:after="0" w:line="240" w:lineRule="auto"/>
        <w:rPr>
          <w:sz w:val="24"/>
          <w:szCs w:val="24"/>
        </w:rPr>
      </w:pPr>
      <w:r>
        <w:rPr>
          <w:sz w:val="24"/>
          <w:szCs w:val="24"/>
        </w:rPr>
        <w:t>Alternative fuel infrastructure throughput; annual gas gallon equivalents (GGE) of CNG used.</w:t>
      </w:r>
    </w:p>
    <w:p w:rsidR="009F0818" w:rsidRPr="009F0818" w:rsidRDefault="009F0818" w:rsidP="009F0818">
      <w:pPr>
        <w:pStyle w:val="ListParagraph"/>
        <w:numPr>
          <w:ilvl w:val="0"/>
          <w:numId w:val="4"/>
        </w:numPr>
        <w:rPr>
          <w:sz w:val="24"/>
          <w:szCs w:val="24"/>
        </w:rPr>
      </w:pPr>
      <w:r w:rsidRPr="009F0818">
        <w:rPr>
          <w:sz w:val="24"/>
          <w:szCs w:val="24"/>
        </w:rPr>
        <w:t>Alternative Fueling Vehicle Refueling/Recharging Capacity</w:t>
      </w:r>
    </w:p>
    <w:p w:rsidR="009F0818" w:rsidRDefault="009F0818" w:rsidP="009F0818">
      <w:pPr>
        <w:pStyle w:val="ListParagraph"/>
        <w:numPr>
          <w:ilvl w:val="0"/>
          <w:numId w:val="4"/>
        </w:numPr>
        <w:tabs>
          <w:tab w:val="left" w:pos="7716"/>
        </w:tabs>
        <w:spacing w:after="0" w:line="240" w:lineRule="auto"/>
        <w:rPr>
          <w:sz w:val="24"/>
          <w:szCs w:val="24"/>
        </w:rPr>
      </w:pPr>
      <w:r>
        <w:rPr>
          <w:sz w:val="24"/>
          <w:szCs w:val="24"/>
        </w:rPr>
        <w:lastRenderedPageBreak/>
        <w:t>Project viability and likelihood of success</w:t>
      </w:r>
    </w:p>
    <w:p w:rsidR="009F0818" w:rsidRPr="009F0818" w:rsidRDefault="009F0818" w:rsidP="009F0818">
      <w:pPr>
        <w:pStyle w:val="ListParagraph"/>
        <w:numPr>
          <w:ilvl w:val="0"/>
          <w:numId w:val="4"/>
        </w:numPr>
        <w:tabs>
          <w:tab w:val="left" w:pos="7716"/>
        </w:tabs>
        <w:spacing w:after="0" w:line="240" w:lineRule="auto"/>
        <w:rPr>
          <w:sz w:val="24"/>
          <w:szCs w:val="24"/>
        </w:rPr>
      </w:pPr>
      <w:r w:rsidRPr="003A3977">
        <w:rPr>
          <w:sz w:val="24"/>
          <w:szCs w:val="24"/>
        </w:rPr>
        <w:t xml:space="preserve">Project Visibility and Public Awareness; Points will be given to projects that have high </w:t>
      </w:r>
      <w:r w:rsidRPr="009F0818">
        <w:rPr>
          <w:sz w:val="24"/>
          <w:szCs w:val="24"/>
        </w:rPr>
        <w:t xml:space="preserve">visibility and that will be seen on a regular basis.  The more exposure and visibility of the project, the higher the points given </w:t>
      </w:r>
    </w:p>
    <w:p w:rsidR="003210AD" w:rsidRPr="003A3977" w:rsidRDefault="003A3977" w:rsidP="003A3977">
      <w:pPr>
        <w:pStyle w:val="ListParagraph"/>
        <w:numPr>
          <w:ilvl w:val="0"/>
          <w:numId w:val="4"/>
        </w:numPr>
        <w:tabs>
          <w:tab w:val="left" w:pos="7716"/>
        </w:tabs>
        <w:spacing w:after="0" w:line="240" w:lineRule="auto"/>
        <w:rPr>
          <w:sz w:val="24"/>
          <w:szCs w:val="24"/>
        </w:rPr>
      </w:pPr>
      <w:r>
        <w:rPr>
          <w:sz w:val="24"/>
          <w:szCs w:val="24"/>
        </w:rPr>
        <w:t xml:space="preserve">Level of Matching Funds; </w:t>
      </w:r>
      <w:r w:rsidR="008951C4">
        <w:rPr>
          <w:sz w:val="24"/>
          <w:szCs w:val="24"/>
        </w:rPr>
        <w:t xml:space="preserve"> </w:t>
      </w:r>
      <w:r w:rsidRPr="003A3977">
        <w:rPr>
          <w:sz w:val="24"/>
          <w:szCs w:val="24"/>
        </w:rPr>
        <w:t>A 20% match is required; however additional points will be given to those projects that provide a higher level amount</w:t>
      </w:r>
    </w:p>
    <w:p w:rsidR="009F0818" w:rsidRPr="00236A5F" w:rsidRDefault="003A3977" w:rsidP="00236A5F">
      <w:pPr>
        <w:pStyle w:val="ListParagraph"/>
        <w:numPr>
          <w:ilvl w:val="0"/>
          <w:numId w:val="4"/>
        </w:numPr>
        <w:tabs>
          <w:tab w:val="left" w:pos="7716"/>
        </w:tabs>
        <w:spacing w:after="0" w:line="240" w:lineRule="auto"/>
        <w:rPr>
          <w:sz w:val="24"/>
          <w:szCs w:val="24"/>
        </w:rPr>
      </w:pPr>
      <w:r w:rsidRPr="003A3977">
        <w:rPr>
          <w:sz w:val="24"/>
          <w:szCs w:val="24"/>
        </w:rPr>
        <w:t>Percent of Fleet Converted; Points will be given to projects that convert a significant percentage of their fleet to AFVs.  If a project proposes to acquire 2 AFVs and they currently have 8 gasoline or diesel powered vehicles (fleet remains the same 8), 25% of their fleet are AFVs.  This would rank higher than a project acquiring or converting 1 vehicle with a fleet of 100 gasol</w:t>
      </w:r>
      <w:r>
        <w:rPr>
          <w:sz w:val="24"/>
          <w:szCs w:val="24"/>
        </w:rPr>
        <w:t>ine or diesel powered vehicles</w:t>
      </w:r>
      <w:r w:rsidRPr="003A3977">
        <w:rPr>
          <w:sz w:val="24"/>
          <w:szCs w:val="24"/>
        </w:rPr>
        <w:t xml:space="preserve"> </w:t>
      </w:r>
    </w:p>
    <w:p w:rsidR="003210AD" w:rsidRDefault="003210AD">
      <w:pPr>
        <w:tabs>
          <w:tab w:val="left" w:pos="7716"/>
        </w:tabs>
        <w:spacing w:after="0" w:line="240" w:lineRule="auto"/>
        <w:rPr>
          <w:b/>
          <w:sz w:val="24"/>
          <w:szCs w:val="24"/>
        </w:rPr>
      </w:pPr>
    </w:p>
    <w:p w:rsidR="003A3977" w:rsidRDefault="00A86ED7" w:rsidP="0048676B">
      <w:pPr>
        <w:tabs>
          <w:tab w:val="left" w:pos="7716"/>
        </w:tabs>
        <w:spacing w:after="0" w:line="240" w:lineRule="auto"/>
        <w:rPr>
          <w:sz w:val="24"/>
          <w:szCs w:val="24"/>
        </w:rPr>
      </w:pPr>
      <w:r w:rsidRPr="00A86ED7">
        <w:rPr>
          <w:sz w:val="24"/>
          <w:szCs w:val="24"/>
        </w:rPr>
        <w:t xml:space="preserve">Each project will be evaluated by determining how well the project rates on each of the applicable criteria. Scoring details and definitions are </w:t>
      </w:r>
      <w:r w:rsidRPr="007A5BD5">
        <w:rPr>
          <w:sz w:val="24"/>
          <w:szCs w:val="24"/>
        </w:rPr>
        <w:t xml:space="preserve">detailed in Attachment </w:t>
      </w:r>
      <w:r w:rsidR="00782CB3" w:rsidRPr="007A5BD5">
        <w:rPr>
          <w:sz w:val="24"/>
          <w:szCs w:val="24"/>
        </w:rPr>
        <w:t>3</w:t>
      </w:r>
      <w:r w:rsidRPr="007A5BD5">
        <w:rPr>
          <w:sz w:val="24"/>
          <w:szCs w:val="24"/>
        </w:rPr>
        <w:t>.</w:t>
      </w:r>
      <w:r w:rsidRPr="00A86ED7">
        <w:rPr>
          <w:sz w:val="24"/>
          <w:szCs w:val="24"/>
        </w:rPr>
        <w:t xml:space="preserve"> </w:t>
      </w:r>
    </w:p>
    <w:p w:rsidR="00580CC9" w:rsidRPr="00236A5F" w:rsidRDefault="003A3977" w:rsidP="0048676B">
      <w:pPr>
        <w:pStyle w:val="Heading1"/>
        <w:spacing w:line="240" w:lineRule="auto"/>
      </w:pPr>
      <w:bookmarkStart w:id="10" w:name="_Toc311732601"/>
      <w:r w:rsidRPr="003A3977">
        <w:t>Description of Eligible Projects</w:t>
      </w:r>
      <w:bookmarkEnd w:id="10"/>
    </w:p>
    <w:p w:rsidR="00875972" w:rsidRDefault="00875972" w:rsidP="00BF1F00">
      <w:pPr>
        <w:pStyle w:val="Heading2"/>
      </w:pPr>
      <w:bookmarkStart w:id="11" w:name="_Toc311732602"/>
      <w:r>
        <w:t>Alternative Fuel Infrastructure</w:t>
      </w:r>
      <w:bookmarkEnd w:id="11"/>
    </w:p>
    <w:p w:rsidR="00A964A6" w:rsidRDefault="00875972">
      <w:pPr>
        <w:tabs>
          <w:tab w:val="left" w:pos="7716"/>
        </w:tabs>
        <w:spacing w:after="0" w:line="240" w:lineRule="auto"/>
        <w:rPr>
          <w:sz w:val="24"/>
          <w:szCs w:val="24"/>
        </w:rPr>
      </w:pPr>
      <w:r>
        <w:rPr>
          <w:sz w:val="24"/>
          <w:szCs w:val="24"/>
        </w:rPr>
        <w:t>These projects will establish public-</w:t>
      </w:r>
      <w:r w:rsidR="00A964A6">
        <w:rPr>
          <w:sz w:val="24"/>
          <w:szCs w:val="24"/>
        </w:rPr>
        <w:t>sector owne</w:t>
      </w:r>
      <w:r w:rsidR="00862379">
        <w:rPr>
          <w:sz w:val="24"/>
          <w:szCs w:val="24"/>
        </w:rPr>
        <w:t>d</w:t>
      </w:r>
      <w:r w:rsidR="00473E23">
        <w:rPr>
          <w:sz w:val="24"/>
          <w:szCs w:val="24"/>
        </w:rPr>
        <w:t xml:space="preserve"> </w:t>
      </w:r>
      <w:r w:rsidR="00A964A6">
        <w:rPr>
          <w:sz w:val="24"/>
          <w:szCs w:val="24"/>
        </w:rPr>
        <w:t xml:space="preserve">fueling facilities and other infrastructure needed to fuel alternative fuel vehicles, unless private-sector owned fueling stations are in place and </w:t>
      </w:r>
      <w:r w:rsidR="00503A60">
        <w:rPr>
          <w:sz w:val="24"/>
          <w:szCs w:val="24"/>
        </w:rPr>
        <w:t>reasonably</w:t>
      </w:r>
      <w:r w:rsidR="00A964A6">
        <w:rPr>
          <w:sz w:val="24"/>
          <w:szCs w:val="24"/>
        </w:rPr>
        <w:t xml:space="preserve"> accessible.</w:t>
      </w:r>
      <w:r w:rsidR="00A771CD">
        <w:rPr>
          <w:sz w:val="24"/>
          <w:szCs w:val="24"/>
        </w:rPr>
        <w:t xml:space="preserve">  </w:t>
      </w:r>
      <w:r w:rsidR="00A964A6">
        <w:rPr>
          <w:sz w:val="24"/>
          <w:szCs w:val="24"/>
        </w:rPr>
        <w:t>Projects that establish fueling sites open to the public will be of particular interest. If the proposal supports a billing system, it must be a universal card billing system.</w:t>
      </w:r>
    </w:p>
    <w:p w:rsidR="00A964A6" w:rsidRDefault="00A964A6">
      <w:pPr>
        <w:tabs>
          <w:tab w:val="left" w:pos="7716"/>
        </w:tabs>
        <w:spacing w:after="0" w:line="240" w:lineRule="auto"/>
        <w:rPr>
          <w:sz w:val="24"/>
          <w:szCs w:val="24"/>
        </w:rPr>
      </w:pPr>
    </w:p>
    <w:p w:rsidR="00A964A6" w:rsidRDefault="00A964A6">
      <w:pPr>
        <w:tabs>
          <w:tab w:val="left" w:pos="7716"/>
        </w:tabs>
        <w:spacing w:after="0" w:line="240" w:lineRule="auto"/>
        <w:rPr>
          <w:sz w:val="24"/>
          <w:szCs w:val="24"/>
        </w:rPr>
      </w:pPr>
      <w:r>
        <w:rPr>
          <w:sz w:val="24"/>
          <w:szCs w:val="24"/>
        </w:rPr>
        <w:t xml:space="preserve">For the purposes of the CMAQ-funded grant opportunity, eligible alternative fuel infrastructure is limited to projects that relate to the storage and dispensing of </w:t>
      </w:r>
    </w:p>
    <w:p w:rsidR="00A964A6" w:rsidRDefault="00A964A6" w:rsidP="00A964A6">
      <w:pPr>
        <w:pStyle w:val="ListParagraph"/>
        <w:numPr>
          <w:ilvl w:val="0"/>
          <w:numId w:val="8"/>
        </w:numPr>
        <w:tabs>
          <w:tab w:val="left" w:pos="7716"/>
        </w:tabs>
        <w:spacing w:after="0" w:line="240" w:lineRule="auto"/>
        <w:rPr>
          <w:sz w:val="24"/>
          <w:szCs w:val="24"/>
        </w:rPr>
      </w:pPr>
      <w:r>
        <w:rPr>
          <w:sz w:val="24"/>
          <w:szCs w:val="24"/>
        </w:rPr>
        <w:t>Compressed natural gas (CNG)</w:t>
      </w:r>
    </w:p>
    <w:p w:rsidR="00A964A6" w:rsidRDefault="00A964A6" w:rsidP="00A964A6">
      <w:pPr>
        <w:pStyle w:val="ListParagraph"/>
        <w:numPr>
          <w:ilvl w:val="0"/>
          <w:numId w:val="8"/>
        </w:numPr>
        <w:tabs>
          <w:tab w:val="left" w:pos="7716"/>
        </w:tabs>
        <w:spacing w:after="0" w:line="240" w:lineRule="auto"/>
        <w:rPr>
          <w:sz w:val="24"/>
          <w:szCs w:val="24"/>
        </w:rPr>
      </w:pPr>
      <w:r>
        <w:rPr>
          <w:sz w:val="24"/>
          <w:szCs w:val="24"/>
        </w:rPr>
        <w:t>Liquefied petroleum gas (LPG, propane</w:t>
      </w:r>
      <w:r w:rsidR="001277DA">
        <w:rPr>
          <w:sz w:val="24"/>
          <w:szCs w:val="24"/>
        </w:rPr>
        <w:t>)</w:t>
      </w:r>
    </w:p>
    <w:p w:rsidR="00A964A6" w:rsidRDefault="00A964A6" w:rsidP="00A964A6">
      <w:pPr>
        <w:pStyle w:val="ListParagraph"/>
        <w:numPr>
          <w:ilvl w:val="0"/>
          <w:numId w:val="8"/>
        </w:numPr>
        <w:tabs>
          <w:tab w:val="left" w:pos="7716"/>
        </w:tabs>
        <w:spacing w:after="0" w:line="240" w:lineRule="auto"/>
        <w:rPr>
          <w:sz w:val="24"/>
          <w:szCs w:val="24"/>
        </w:rPr>
      </w:pPr>
      <w:r>
        <w:rPr>
          <w:sz w:val="24"/>
          <w:szCs w:val="24"/>
        </w:rPr>
        <w:t>Metered electric vehicle recharging</w:t>
      </w:r>
    </w:p>
    <w:p w:rsidR="00A964A6" w:rsidRDefault="00A964A6" w:rsidP="00A964A6">
      <w:pPr>
        <w:tabs>
          <w:tab w:val="left" w:pos="7716"/>
        </w:tabs>
        <w:spacing w:after="0" w:line="240" w:lineRule="auto"/>
        <w:rPr>
          <w:sz w:val="24"/>
          <w:szCs w:val="24"/>
        </w:rPr>
      </w:pPr>
    </w:p>
    <w:p w:rsidR="00A964A6" w:rsidRDefault="00A964A6" w:rsidP="00A964A6">
      <w:pPr>
        <w:tabs>
          <w:tab w:val="left" w:pos="7716"/>
        </w:tabs>
        <w:spacing w:after="0" w:line="240" w:lineRule="auto"/>
        <w:rPr>
          <w:sz w:val="24"/>
          <w:szCs w:val="24"/>
        </w:rPr>
      </w:pPr>
      <w:r>
        <w:rPr>
          <w:sz w:val="24"/>
          <w:szCs w:val="24"/>
        </w:rPr>
        <w:t>All alternative fuel infrastructure projects, including propane, must fall into one of the following three categories or a combination thereof, and in the case of electric vehicle recharging and CNG, must meet or better the specified capacities.</w:t>
      </w:r>
    </w:p>
    <w:p w:rsidR="00A964A6" w:rsidRDefault="00A964A6" w:rsidP="00A964A6">
      <w:pPr>
        <w:tabs>
          <w:tab w:val="left" w:pos="7716"/>
        </w:tabs>
        <w:spacing w:after="0" w:line="240" w:lineRule="auto"/>
        <w:rPr>
          <w:sz w:val="24"/>
          <w:szCs w:val="24"/>
        </w:rPr>
      </w:pPr>
    </w:p>
    <w:p w:rsidR="00A964A6" w:rsidRDefault="00A964A6" w:rsidP="00A964A6">
      <w:pPr>
        <w:tabs>
          <w:tab w:val="left" w:pos="7716"/>
        </w:tabs>
        <w:spacing w:after="0" w:line="240" w:lineRule="auto"/>
        <w:rPr>
          <w:b/>
          <w:sz w:val="24"/>
          <w:szCs w:val="24"/>
        </w:rPr>
      </w:pPr>
      <w:r>
        <w:rPr>
          <w:b/>
          <w:sz w:val="24"/>
          <w:szCs w:val="24"/>
        </w:rPr>
        <w:t xml:space="preserve">Additionally, all </w:t>
      </w:r>
      <w:r w:rsidRPr="00862379">
        <w:rPr>
          <w:b/>
          <w:sz w:val="24"/>
          <w:szCs w:val="24"/>
        </w:rPr>
        <w:t xml:space="preserve">equipments purchased and installed with INCOG Public Fleet Conversion Grant funding must be new. </w:t>
      </w:r>
      <w:r w:rsidR="004E13EE">
        <w:rPr>
          <w:b/>
          <w:sz w:val="24"/>
          <w:szCs w:val="24"/>
        </w:rPr>
        <w:t>All e</w:t>
      </w:r>
      <w:r w:rsidR="00862379" w:rsidRPr="00862379">
        <w:rPr>
          <w:b/>
          <w:sz w:val="24"/>
          <w:szCs w:val="24"/>
        </w:rPr>
        <w:t>quipment must compile with all state and federal laws.</w:t>
      </w:r>
    </w:p>
    <w:p w:rsidR="00473E23" w:rsidRDefault="00473E23" w:rsidP="00A964A6">
      <w:pPr>
        <w:tabs>
          <w:tab w:val="left" w:pos="7716"/>
        </w:tabs>
        <w:spacing w:after="0" w:line="240" w:lineRule="auto"/>
        <w:rPr>
          <w:b/>
          <w:sz w:val="24"/>
          <w:szCs w:val="24"/>
        </w:rPr>
      </w:pPr>
    </w:p>
    <w:p w:rsidR="00473E23" w:rsidRPr="008951C4" w:rsidRDefault="00473E23" w:rsidP="008951C4">
      <w:pPr>
        <w:pStyle w:val="ListParagraph"/>
        <w:numPr>
          <w:ilvl w:val="0"/>
          <w:numId w:val="10"/>
        </w:numPr>
        <w:tabs>
          <w:tab w:val="left" w:pos="7716"/>
        </w:tabs>
        <w:spacing w:after="0" w:line="240" w:lineRule="auto"/>
        <w:rPr>
          <w:sz w:val="24"/>
          <w:szCs w:val="24"/>
        </w:rPr>
      </w:pPr>
      <w:r w:rsidRPr="008951C4">
        <w:rPr>
          <w:sz w:val="24"/>
          <w:szCs w:val="24"/>
        </w:rPr>
        <w:t>Public-private partnership providing multi-fleet access and general public access with universal card reader</w:t>
      </w:r>
    </w:p>
    <w:p w:rsidR="00473E23" w:rsidRDefault="00473E23" w:rsidP="00473E23">
      <w:pPr>
        <w:pStyle w:val="ListParagraph"/>
        <w:numPr>
          <w:ilvl w:val="2"/>
          <w:numId w:val="10"/>
        </w:numPr>
        <w:tabs>
          <w:tab w:val="left" w:pos="7716"/>
        </w:tabs>
        <w:spacing w:after="0" w:line="240" w:lineRule="auto"/>
        <w:rPr>
          <w:sz w:val="24"/>
          <w:szCs w:val="24"/>
        </w:rPr>
      </w:pPr>
      <w:r>
        <w:rPr>
          <w:sz w:val="24"/>
          <w:szCs w:val="24"/>
        </w:rPr>
        <w:t>For projects involving electric vehicle recharging, required minimum capacity: Level 3 commercial, metered, fast charge</w:t>
      </w:r>
      <w:r w:rsidRPr="00473E23">
        <w:rPr>
          <w:sz w:val="24"/>
          <w:szCs w:val="24"/>
        </w:rPr>
        <w:t xml:space="preserve"> </w:t>
      </w:r>
      <w:r>
        <w:rPr>
          <w:sz w:val="24"/>
          <w:szCs w:val="24"/>
        </w:rPr>
        <w:t xml:space="preserve">point capable of recharging a battery </w:t>
      </w:r>
      <w:r w:rsidR="00503A60">
        <w:rPr>
          <w:sz w:val="24"/>
          <w:szCs w:val="24"/>
        </w:rPr>
        <w:t>eclectic</w:t>
      </w:r>
      <w:r>
        <w:rPr>
          <w:sz w:val="24"/>
          <w:szCs w:val="24"/>
        </w:rPr>
        <w:t xml:space="preserve"> passenger car from 20 percent empty to 80 percent full in less than 30 minutes, using high power output of 96 kilowatts (480 Volts DC, 200 Amps).</w:t>
      </w:r>
    </w:p>
    <w:p w:rsidR="00473E23" w:rsidRDefault="00473E23" w:rsidP="00473E23">
      <w:pPr>
        <w:pStyle w:val="ListParagraph"/>
        <w:numPr>
          <w:ilvl w:val="2"/>
          <w:numId w:val="10"/>
        </w:numPr>
        <w:tabs>
          <w:tab w:val="left" w:pos="7716"/>
        </w:tabs>
        <w:spacing w:after="0" w:line="240" w:lineRule="auto"/>
        <w:rPr>
          <w:sz w:val="24"/>
          <w:szCs w:val="24"/>
        </w:rPr>
      </w:pPr>
      <w:r>
        <w:rPr>
          <w:sz w:val="24"/>
          <w:szCs w:val="24"/>
        </w:rPr>
        <w:lastRenderedPageBreak/>
        <w:t>For projects involving CNG, required minimum capacity: two (2) dispensers with two (2) hoses each; 5,500 psi storage capacity and 3600 psi fill capacity</w:t>
      </w:r>
    </w:p>
    <w:p w:rsidR="008951C4" w:rsidRDefault="008951C4" w:rsidP="008951C4">
      <w:pPr>
        <w:pStyle w:val="ListParagraph"/>
        <w:numPr>
          <w:ilvl w:val="0"/>
          <w:numId w:val="10"/>
        </w:numPr>
        <w:tabs>
          <w:tab w:val="left" w:pos="7716"/>
        </w:tabs>
        <w:spacing w:after="0" w:line="240" w:lineRule="auto"/>
        <w:rPr>
          <w:sz w:val="24"/>
          <w:szCs w:val="24"/>
        </w:rPr>
      </w:pPr>
      <w:r>
        <w:rPr>
          <w:sz w:val="24"/>
          <w:szCs w:val="24"/>
        </w:rPr>
        <w:t>Public sector or Public-private partnership providing multi-fleet and/or general public access with universal card reader</w:t>
      </w:r>
    </w:p>
    <w:p w:rsidR="008951C4" w:rsidRDefault="008951C4" w:rsidP="008951C4">
      <w:pPr>
        <w:pStyle w:val="ListParagraph"/>
        <w:numPr>
          <w:ilvl w:val="1"/>
          <w:numId w:val="10"/>
        </w:numPr>
        <w:tabs>
          <w:tab w:val="left" w:pos="7716"/>
        </w:tabs>
        <w:spacing w:after="0" w:line="240" w:lineRule="auto"/>
        <w:rPr>
          <w:sz w:val="24"/>
          <w:szCs w:val="24"/>
        </w:rPr>
      </w:pPr>
      <w:r>
        <w:rPr>
          <w:sz w:val="24"/>
          <w:szCs w:val="24"/>
        </w:rPr>
        <w:t xml:space="preserve">For projects involving electric vehicle recharging, required minimum capacity: Level II, public access and/or fleet access, metered charge point capable of recharging a battery electric passenger car from “empty” to “full” in six (6) to seven (7) hours using maximum power output of 3.3kW (240V output at 32A). </w:t>
      </w:r>
    </w:p>
    <w:p w:rsidR="008951C4" w:rsidRDefault="008951C4" w:rsidP="008951C4">
      <w:pPr>
        <w:pStyle w:val="ListParagraph"/>
        <w:numPr>
          <w:ilvl w:val="1"/>
          <w:numId w:val="10"/>
        </w:numPr>
        <w:tabs>
          <w:tab w:val="left" w:pos="7716"/>
        </w:tabs>
        <w:spacing w:after="0" w:line="240" w:lineRule="auto"/>
        <w:rPr>
          <w:sz w:val="24"/>
          <w:szCs w:val="24"/>
        </w:rPr>
      </w:pPr>
      <w:r>
        <w:rPr>
          <w:sz w:val="24"/>
          <w:szCs w:val="24"/>
        </w:rPr>
        <w:t>For projects</w:t>
      </w:r>
      <w:r w:rsidRPr="00656222">
        <w:rPr>
          <w:sz w:val="24"/>
          <w:szCs w:val="24"/>
        </w:rPr>
        <w:t xml:space="preserve"> involving CNG, required minimum capacity: two (2) dispensers with two (2) hoses each; 5,500 psi storage capacity and 3600 psi fill capacity</w:t>
      </w:r>
    </w:p>
    <w:p w:rsidR="008951C4" w:rsidRDefault="008951C4" w:rsidP="008951C4">
      <w:pPr>
        <w:pStyle w:val="ListParagraph"/>
        <w:numPr>
          <w:ilvl w:val="0"/>
          <w:numId w:val="10"/>
        </w:numPr>
        <w:tabs>
          <w:tab w:val="left" w:pos="7716"/>
        </w:tabs>
        <w:spacing w:after="0" w:line="240" w:lineRule="auto"/>
        <w:rPr>
          <w:sz w:val="24"/>
          <w:szCs w:val="24"/>
        </w:rPr>
      </w:pPr>
      <w:r>
        <w:rPr>
          <w:sz w:val="24"/>
          <w:szCs w:val="24"/>
        </w:rPr>
        <w:t>Single-fleet access with no general public access</w:t>
      </w:r>
    </w:p>
    <w:p w:rsidR="008951C4" w:rsidRDefault="008951C4" w:rsidP="008951C4">
      <w:pPr>
        <w:pStyle w:val="ListParagraph"/>
        <w:numPr>
          <w:ilvl w:val="1"/>
          <w:numId w:val="10"/>
        </w:numPr>
        <w:tabs>
          <w:tab w:val="left" w:pos="7716"/>
        </w:tabs>
        <w:spacing w:after="0" w:line="240" w:lineRule="auto"/>
        <w:rPr>
          <w:sz w:val="24"/>
          <w:szCs w:val="24"/>
        </w:rPr>
      </w:pPr>
      <w:r>
        <w:rPr>
          <w:sz w:val="24"/>
          <w:szCs w:val="24"/>
        </w:rPr>
        <w:t xml:space="preserve">For projects involving electric vehicle recharging, required minimum capacity: Level 1, metered to charge point capable </w:t>
      </w:r>
      <w:r w:rsidR="00503A60">
        <w:rPr>
          <w:sz w:val="24"/>
          <w:szCs w:val="24"/>
        </w:rPr>
        <w:t>of</w:t>
      </w:r>
      <w:r>
        <w:rPr>
          <w:sz w:val="24"/>
          <w:szCs w:val="24"/>
        </w:rPr>
        <w:t xml:space="preserve"> recharging a battery electric passenger car from “empty” to “full” in 14 or 15 hours using maximum power output of 1.9k (120V at 16A).</w:t>
      </w:r>
    </w:p>
    <w:p w:rsidR="008951C4" w:rsidRPr="00321824" w:rsidRDefault="008951C4" w:rsidP="008951C4">
      <w:pPr>
        <w:pStyle w:val="ListParagraph"/>
        <w:numPr>
          <w:ilvl w:val="1"/>
          <w:numId w:val="10"/>
        </w:numPr>
        <w:tabs>
          <w:tab w:val="left" w:pos="7716"/>
        </w:tabs>
        <w:spacing w:after="0" w:line="240" w:lineRule="auto"/>
        <w:rPr>
          <w:sz w:val="24"/>
          <w:szCs w:val="24"/>
        </w:rPr>
      </w:pPr>
      <w:r>
        <w:rPr>
          <w:sz w:val="24"/>
          <w:szCs w:val="24"/>
        </w:rPr>
        <w:t>For projects involving CNG, minimum fast-fill capacity: 30,000 scf (standard cubic feet) storage; minimum slow fill capacity 50</w:t>
      </w:r>
      <w:r w:rsidR="0046288F">
        <w:rPr>
          <w:sz w:val="24"/>
          <w:szCs w:val="24"/>
        </w:rPr>
        <w:t xml:space="preserve"> </w:t>
      </w:r>
      <w:r>
        <w:rPr>
          <w:sz w:val="24"/>
          <w:szCs w:val="24"/>
        </w:rPr>
        <w:t xml:space="preserve">cfm </w:t>
      </w:r>
      <w:r w:rsidR="0046288F">
        <w:rPr>
          <w:sz w:val="24"/>
          <w:szCs w:val="24"/>
        </w:rPr>
        <w:t>(</w:t>
      </w:r>
      <w:r>
        <w:rPr>
          <w:sz w:val="24"/>
          <w:szCs w:val="24"/>
        </w:rPr>
        <w:t>cubic feet per minute</w:t>
      </w:r>
      <w:r w:rsidR="0046288F">
        <w:rPr>
          <w:sz w:val="24"/>
          <w:szCs w:val="24"/>
        </w:rPr>
        <w:t xml:space="preserve">) compressor. </w:t>
      </w:r>
    </w:p>
    <w:p w:rsidR="00BC622C" w:rsidRPr="00321824" w:rsidRDefault="00580CC9" w:rsidP="00321824">
      <w:pPr>
        <w:pStyle w:val="Heading1"/>
      </w:pPr>
      <w:bookmarkStart w:id="12" w:name="_Toc311732603"/>
      <w:r w:rsidRPr="00321824">
        <w:t xml:space="preserve">Project Proposal Format and </w:t>
      </w:r>
      <w:r w:rsidR="00BC622C" w:rsidRPr="00321824">
        <w:t>Application Components</w:t>
      </w:r>
      <w:bookmarkEnd w:id="12"/>
    </w:p>
    <w:p w:rsidR="00580CC9" w:rsidRPr="00BC622C" w:rsidRDefault="00580CC9" w:rsidP="00580CC9">
      <w:pPr>
        <w:tabs>
          <w:tab w:val="left" w:pos="3600"/>
        </w:tabs>
        <w:jc w:val="both"/>
        <w:rPr>
          <w:rFonts w:cstheme="minorHAnsi"/>
          <w:bCs/>
          <w:iCs/>
          <w:sz w:val="24"/>
          <w:szCs w:val="24"/>
        </w:rPr>
      </w:pPr>
      <w:r w:rsidRPr="00BC622C">
        <w:rPr>
          <w:rFonts w:cstheme="minorHAnsi"/>
          <w:sz w:val="24"/>
          <w:szCs w:val="24"/>
        </w:rPr>
        <w:t>All proposals submitted</w:t>
      </w:r>
      <w:r w:rsidR="004B20E8">
        <w:rPr>
          <w:rFonts w:cstheme="minorHAnsi"/>
          <w:sz w:val="24"/>
          <w:szCs w:val="24"/>
        </w:rPr>
        <w:t xml:space="preserve"> must</w:t>
      </w:r>
      <w:r w:rsidRPr="00BC622C">
        <w:rPr>
          <w:rFonts w:cstheme="minorHAnsi"/>
          <w:sz w:val="24"/>
          <w:szCs w:val="24"/>
        </w:rPr>
        <w:t xml:space="preserve"> </w:t>
      </w:r>
      <w:r w:rsidR="004B20E8">
        <w:rPr>
          <w:rFonts w:cstheme="minorHAnsi"/>
          <w:sz w:val="24"/>
          <w:szCs w:val="24"/>
        </w:rPr>
        <w:t xml:space="preserve">utilize the application procedures packet and the forms contained within.  </w:t>
      </w:r>
    </w:p>
    <w:p w:rsidR="00580CC9" w:rsidRPr="00580CC9" w:rsidRDefault="00580CC9" w:rsidP="00402BC2">
      <w:pPr>
        <w:tabs>
          <w:tab w:val="left" w:pos="3600"/>
        </w:tabs>
        <w:spacing w:after="120" w:line="240" w:lineRule="auto"/>
        <w:ind w:left="360"/>
        <w:jc w:val="both"/>
        <w:rPr>
          <w:rFonts w:cstheme="minorHAnsi"/>
          <w:i/>
          <w:sz w:val="24"/>
          <w:szCs w:val="24"/>
        </w:rPr>
      </w:pPr>
      <w:r w:rsidRPr="00580CC9">
        <w:rPr>
          <w:rFonts w:cstheme="minorHAnsi"/>
          <w:sz w:val="24"/>
          <w:szCs w:val="24"/>
          <w:u w:val="single"/>
        </w:rPr>
        <w:t>Tulsa Area Clea</w:t>
      </w:r>
      <w:r w:rsidR="0046288F">
        <w:rPr>
          <w:rFonts w:cstheme="minorHAnsi"/>
          <w:sz w:val="24"/>
          <w:szCs w:val="24"/>
          <w:u w:val="single"/>
        </w:rPr>
        <w:t xml:space="preserve">n Cities Stakeholder </w:t>
      </w:r>
      <w:r w:rsidRPr="00580CC9">
        <w:rPr>
          <w:rFonts w:cstheme="minorHAnsi"/>
          <w:sz w:val="24"/>
          <w:szCs w:val="24"/>
          <w:u w:val="single"/>
        </w:rPr>
        <w:t xml:space="preserve"> </w:t>
      </w:r>
    </w:p>
    <w:p w:rsidR="0046288F" w:rsidRPr="00A372E4" w:rsidRDefault="0046288F" w:rsidP="00321824">
      <w:pPr>
        <w:pStyle w:val="ListParagraph"/>
        <w:numPr>
          <w:ilvl w:val="0"/>
          <w:numId w:val="2"/>
        </w:numPr>
        <w:tabs>
          <w:tab w:val="left" w:pos="3600"/>
        </w:tabs>
        <w:spacing w:after="0" w:line="240" w:lineRule="auto"/>
        <w:jc w:val="both"/>
        <w:rPr>
          <w:rFonts w:cstheme="minorHAnsi"/>
          <w:sz w:val="24"/>
          <w:szCs w:val="24"/>
        </w:rPr>
      </w:pPr>
      <w:r w:rsidRPr="00A372E4">
        <w:rPr>
          <w:rFonts w:cstheme="minorHAnsi"/>
          <w:sz w:val="24"/>
          <w:szCs w:val="24"/>
        </w:rPr>
        <w:t>A</w:t>
      </w:r>
      <w:r w:rsidR="00580CC9" w:rsidRPr="00A372E4">
        <w:rPr>
          <w:rFonts w:cstheme="minorHAnsi"/>
          <w:sz w:val="24"/>
          <w:szCs w:val="24"/>
        </w:rPr>
        <w:t>pplicant</w:t>
      </w:r>
      <w:r w:rsidRPr="00A372E4">
        <w:rPr>
          <w:rFonts w:cstheme="minorHAnsi"/>
          <w:sz w:val="24"/>
          <w:szCs w:val="24"/>
        </w:rPr>
        <w:t xml:space="preserve"> must be a stakeholder in good standing with </w:t>
      </w:r>
      <w:r w:rsidR="004B20E8" w:rsidRPr="00A372E4">
        <w:rPr>
          <w:rFonts w:cstheme="minorHAnsi"/>
          <w:sz w:val="24"/>
          <w:szCs w:val="24"/>
        </w:rPr>
        <w:t xml:space="preserve">Tulsa Area Clean Cities. </w:t>
      </w:r>
      <w:r w:rsidRPr="00A372E4">
        <w:rPr>
          <w:rFonts w:cstheme="minorHAnsi"/>
          <w:sz w:val="24"/>
          <w:szCs w:val="24"/>
        </w:rPr>
        <w:t>Tulsa Area Clean Cities stakeholders must have a signed Sta</w:t>
      </w:r>
      <w:r w:rsidR="004B20E8" w:rsidRPr="00A372E4">
        <w:rPr>
          <w:rFonts w:cstheme="minorHAnsi"/>
          <w:sz w:val="24"/>
          <w:szCs w:val="24"/>
        </w:rPr>
        <w:t>keholder Memorandum of Understanding (MOU)</w:t>
      </w:r>
      <w:r w:rsidR="00A372E4" w:rsidRPr="00A372E4">
        <w:rPr>
          <w:rFonts w:cstheme="minorHAnsi"/>
          <w:sz w:val="24"/>
          <w:szCs w:val="24"/>
        </w:rPr>
        <w:t xml:space="preserve"> on file with INCOG. </w:t>
      </w:r>
      <w:r w:rsidR="004B20E8" w:rsidRPr="00A372E4">
        <w:rPr>
          <w:rFonts w:cstheme="minorHAnsi"/>
          <w:sz w:val="24"/>
          <w:szCs w:val="24"/>
        </w:rPr>
        <w:t xml:space="preserve">MOU’s can be found at </w:t>
      </w:r>
      <w:hyperlink r:id="rId10" w:history="1">
        <w:r w:rsidR="004B20E8" w:rsidRPr="00A372E4">
          <w:rPr>
            <w:rStyle w:val="Hyperlink"/>
            <w:rFonts w:cstheme="minorHAnsi"/>
            <w:sz w:val="24"/>
            <w:szCs w:val="24"/>
          </w:rPr>
          <w:t>www.tulsacleancities.com</w:t>
        </w:r>
      </w:hyperlink>
      <w:r w:rsidR="004B20E8" w:rsidRPr="00A372E4">
        <w:rPr>
          <w:rFonts w:cstheme="minorHAnsi"/>
          <w:sz w:val="24"/>
          <w:szCs w:val="24"/>
        </w:rPr>
        <w:t xml:space="preserve">. </w:t>
      </w:r>
    </w:p>
    <w:p w:rsidR="00A14FE9" w:rsidRPr="009D70D3" w:rsidRDefault="00A14FE9" w:rsidP="00321824">
      <w:pPr>
        <w:pStyle w:val="Heading1"/>
      </w:pPr>
      <w:bookmarkStart w:id="13" w:name="_Toc311732604"/>
      <w:r w:rsidRPr="009D70D3">
        <w:t>Grant Award Contract Dates and Process</w:t>
      </w:r>
      <w:bookmarkEnd w:id="13"/>
    </w:p>
    <w:p w:rsidR="00A14FE9" w:rsidRPr="009D70D3" w:rsidRDefault="00A14FE9" w:rsidP="00321824">
      <w:pPr>
        <w:spacing w:after="0"/>
        <w:jc w:val="both"/>
        <w:rPr>
          <w:rFonts w:cstheme="minorHAnsi"/>
          <w:sz w:val="24"/>
          <w:szCs w:val="24"/>
        </w:rPr>
      </w:pPr>
      <w:r w:rsidRPr="009D70D3">
        <w:rPr>
          <w:rFonts w:cstheme="minorHAnsi"/>
          <w:sz w:val="24"/>
          <w:szCs w:val="24"/>
        </w:rPr>
        <w:t>Notification of awarded projects is antici</w:t>
      </w:r>
      <w:r w:rsidR="009D70D3">
        <w:rPr>
          <w:rFonts w:cstheme="minorHAnsi"/>
          <w:sz w:val="24"/>
          <w:szCs w:val="24"/>
        </w:rPr>
        <w:t xml:space="preserve">pated on or before </w:t>
      </w:r>
      <w:r w:rsidR="009D70D3" w:rsidRPr="009D70D3">
        <w:rPr>
          <w:rFonts w:cstheme="minorHAnsi"/>
          <w:color w:val="FF0000"/>
          <w:sz w:val="24"/>
          <w:szCs w:val="24"/>
        </w:rPr>
        <w:t>March 23, 2012</w:t>
      </w:r>
      <w:r w:rsidRPr="009D70D3">
        <w:rPr>
          <w:rFonts w:cstheme="minorHAnsi"/>
          <w:color w:val="FF0000"/>
          <w:sz w:val="24"/>
          <w:szCs w:val="24"/>
        </w:rPr>
        <w:t>.</w:t>
      </w:r>
      <w:r w:rsidRPr="009D70D3">
        <w:rPr>
          <w:rFonts w:cstheme="minorHAnsi"/>
          <w:sz w:val="24"/>
          <w:szCs w:val="24"/>
        </w:rPr>
        <w:t xml:space="preserve">  Award recipients will be notified by telephone and/or email as well as </w:t>
      </w:r>
      <w:r w:rsidR="007A5BD5">
        <w:rPr>
          <w:rFonts w:cstheme="minorHAnsi"/>
          <w:sz w:val="24"/>
          <w:szCs w:val="24"/>
        </w:rPr>
        <w:t>posted on www.TulsaCleanCities.c</w:t>
      </w:r>
      <w:r w:rsidRPr="009D70D3">
        <w:rPr>
          <w:rFonts w:cstheme="minorHAnsi"/>
          <w:sz w:val="24"/>
          <w:szCs w:val="24"/>
        </w:rPr>
        <w:t>om.</w:t>
      </w:r>
    </w:p>
    <w:p w:rsidR="00A14FE9" w:rsidRPr="009D70D3" w:rsidRDefault="00A14FE9" w:rsidP="00A14FE9">
      <w:pPr>
        <w:jc w:val="both"/>
        <w:rPr>
          <w:rFonts w:cstheme="minorHAnsi"/>
          <w:sz w:val="24"/>
          <w:szCs w:val="24"/>
          <w:u w:val="single"/>
        </w:rPr>
      </w:pPr>
      <w:r w:rsidRPr="009D70D3">
        <w:rPr>
          <w:rFonts w:cstheme="minorHAnsi"/>
          <w:sz w:val="24"/>
          <w:szCs w:val="24"/>
        </w:rPr>
        <w:t>Project award recipients will enter into an executable contract with INCOG prior to any project activity or purchase.  This contract process may be 30 to 60 days after award notification.  The executable grant award contracts will be twelve months in length, define reimbursement terms, record-keeping obligations and all requirements pursuant to the use of CMAQ funds.</w:t>
      </w:r>
    </w:p>
    <w:p w:rsidR="00A14FE9" w:rsidRPr="00236A5F" w:rsidRDefault="00A14FE9" w:rsidP="00236A5F">
      <w:pPr>
        <w:spacing w:after="0"/>
        <w:jc w:val="center"/>
        <w:rPr>
          <w:rFonts w:cstheme="minorHAnsi"/>
          <w:b/>
          <w:sz w:val="24"/>
          <w:szCs w:val="24"/>
        </w:rPr>
      </w:pPr>
      <w:r w:rsidRPr="00236A5F">
        <w:rPr>
          <w:rFonts w:cstheme="minorHAnsi"/>
          <w:b/>
          <w:sz w:val="24"/>
          <w:szCs w:val="24"/>
        </w:rPr>
        <w:t>Please submit Project Proposals electronically (PDF’s only) to mwebber@incog.org:</w:t>
      </w:r>
    </w:p>
    <w:p w:rsidR="00A14FE9" w:rsidRPr="009D70D3" w:rsidRDefault="00A14FE9" w:rsidP="00236A5F">
      <w:pPr>
        <w:spacing w:after="0" w:line="240" w:lineRule="auto"/>
        <w:jc w:val="center"/>
        <w:rPr>
          <w:rFonts w:cstheme="minorHAnsi"/>
          <w:sz w:val="24"/>
          <w:szCs w:val="24"/>
        </w:rPr>
      </w:pPr>
      <w:r w:rsidRPr="009D70D3">
        <w:rPr>
          <w:rFonts w:cstheme="minorHAnsi"/>
          <w:sz w:val="24"/>
          <w:szCs w:val="24"/>
        </w:rPr>
        <w:t>Meredith Webber</w:t>
      </w:r>
    </w:p>
    <w:p w:rsidR="00A14FE9" w:rsidRPr="009D70D3" w:rsidRDefault="00AC5DAA" w:rsidP="009D70D3">
      <w:pPr>
        <w:spacing w:after="0" w:line="240" w:lineRule="auto"/>
        <w:jc w:val="center"/>
        <w:rPr>
          <w:rFonts w:cstheme="minorHAnsi"/>
          <w:sz w:val="24"/>
          <w:szCs w:val="24"/>
        </w:rPr>
      </w:pPr>
      <w:r>
        <w:rPr>
          <w:rFonts w:cstheme="minorHAnsi"/>
          <w:sz w:val="24"/>
          <w:szCs w:val="24"/>
        </w:rPr>
        <w:t>Tulsa Area Clean Cities Coordinator</w:t>
      </w:r>
      <w:r w:rsidR="00A14FE9" w:rsidRPr="009D70D3">
        <w:rPr>
          <w:rFonts w:cstheme="minorHAnsi"/>
          <w:sz w:val="24"/>
          <w:szCs w:val="24"/>
        </w:rPr>
        <w:t>, INCOG</w:t>
      </w:r>
    </w:p>
    <w:p w:rsidR="00A14FE9" w:rsidRPr="009D70D3" w:rsidRDefault="00A14FE9" w:rsidP="009D70D3">
      <w:pPr>
        <w:spacing w:after="0" w:line="240" w:lineRule="auto"/>
        <w:jc w:val="center"/>
        <w:rPr>
          <w:rFonts w:cstheme="minorHAnsi"/>
          <w:sz w:val="24"/>
          <w:szCs w:val="24"/>
        </w:rPr>
      </w:pPr>
      <w:r w:rsidRPr="009D70D3">
        <w:rPr>
          <w:rFonts w:cstheme="minorHAnsi"/>
          <w:sz w:val="24"/>
          <w:szCs w:val="24"/>
        </w:rPr>
        <w:t>2 West Second Street Suite 800, Tulsa, OK 74103</w:t>
      </w:r>
    </w:p>
    <w:p w:rsidR="00A14FE9" w:rsidRPr="009D70D3" w:rsidRDefault="00A14FE9" w:rsidP="009D70D3">
      <w:pPr>
        <w:spacing w:after="0" w:line="240" w:lineRule="auto"/>
        <w:jc w:val="center"/>
        <w:rPr>
          <w:rFonts w:cstheme="minorHAnsi"/>
          <w:sz w:val="24"/>
          <w:szCs w:val="24"/>
        </w:rPr>
      </w:pPr>
      <w:r w:rsidRPr="009D70D3">
        <w:rPr>
          <w:rFonts w:cstheme="minorHAnsi"/>
          <w:sz w:val="24"/>
          <w:szCs w:val="24"/>
        </w:rPr>
        <w:t>(918) 579-9434</w:t>
      </w:r>
    </w:p>
    <w:p w:rsidR="00A14FE9" w:rsidRPr="00236A5F" w:rsidRDefault="00A14FE9" w:rsidP="009D70D3">
      <w:pPr>
        <w:jc w:val="center"/>
        <w:rPr>
          <w:rFonts w:cstheme="minorHAnsi"/>
          <w:b/>
          <w:sz w:val="24"/>
          <w:szCs w:val="24"/>
        </w:rPr>
      </w:pPr>
      <w:r w:rsidRPr="00236A5F">
        <w:rPr>
          <w:rFonts w:cstheme="minorHAnsi"/>
          <w:b/>
          <w:sz w:val="24"/>
          <w:szCs w:val="24"/>
        </w:rPr>
        <w:t>Pro</w:t>
      </w:r>
      <w:r w:rsidR="00F52E79" w:rsidRPr="00236A5F">
        <w:rPr>
          <w:rFonts w:cstheme="minorHAnsi"/>
          <w:b/>
          <w:sz w:val="24"/>
          <w:szCs w:val="24"/>
        </w:rPr>
        <w:t>posals are due no later than 4:0</w:t>
      </w:r>
      <w:r w:rsidRPr="00236A5F">
        <w:rPr>
          <w:rFonts w:cstheme="minorHAnsi"/>
          <w:b/>
          <w:sz w:val="24"/>
          <w:szCs w:val="24"/>
        </w:rPr>
        <w:t>0 p.m.</w:t>
      </w:r>
      <w:r w:rsidRPr="00236A5F">
        <w:rPr>
          <w:rFonts w:cstheme="minorHAnsi"/>
          <w:b/>
          <w:color w:val="FF0000"/>
          <w:sz w:val="24"/>
          <w:szCs w:val="24"/>
        </w:rPr>
        <w:t xml:space="preserve">, </w:t>
      </w:r>
      <w:r w:rsidR="009D70D3" w:rsidRPr="00236A5F">
        <w:rPr>
          <w:rFonts w:cstheme="minorHAnsi"/>
          <w:b/>
          <w:color w:val="FF0000"/>
          <w:sz w:val="24"/>
          <w:szCs w:val="24"/>
        </w:rPr>
        <w:t>February</w:t>
      </w:r>
      <w:r w:rsidRPr="00236A5F">
        <w:rPr>
          <w:rFonts w:cstheme="minorHAnsi"/>
          <w:b/>
          <w:color w:val="FF0000"/>
          <w:sz w:val="24"/>
          <w:szCs w:val="24"/>
        </w:rPr>
        <w:t xml:space="preserve"> 15, 2012.</w:t>
      </w: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A771CD" w:rsidRDefault="00A771CD" w:rsidP="00A771CD">
      <w:pPr>
        <w:pStyle w:val="Heading1"/>
        <w:jc w:val="center"/>
        <w:rPr>
          <w:sz w:val="34"/>
        </w:rPr>
      </w:pPr>
    </w:p>
    <w:p w:rsidR="009D70D3" w:rsidRDefault="009D70D3" w:rsidP="00A771CD">
      <w:pPr>
        <w:pStyle w:val="Heading1"/>
        <w:jc w:val="center"/>
        <w:rPr>
          <w:sz w:val="34"/>
        </w:rPr>
      </w:pPr>
      <w:bookmarkStart w:id="14" w:name="_Toc311732605"/>
      <w:r w:rsidRPr="00236A5F">
        <w:rPr>
          <w:sz w:val="34"/>
        </w:rPr>
        <w:t>ATTACHMENTS</w:t>
      </w:r>
      <w:bookmarkEnd w:id="14"/>
    </w:p>
    <w:p w:rsidR="009D70D3" w:rsidRDefault="009D70D3">
      <w:pPr>
        <w:rPr>
          <w:rFonts w:cstheme="minorHAnsi"/>
          <w:sz w:val="24"/>
          <w:szCs w:val="24"/>
        </w:rPr>
      </w:pPr>
    </w:p>
    <w:p w:rsidR="0046288F" w:rsidRPr="009D70D3" w:rsidRDefault="009D70D3" w:rsidP="00A771CD">
      <w:pPr>
        <w:pStyle w:val="Heading2"/>
        <w:rPr>
          <w:rFonts w:cstheme="minorHAnsi"/>
          <w:sz w:val="24"/>
          <w:szCs w:val="24"/>
        </w:rPr>
      </w:pPr>
      <w:bookmarkStart w:id="15" w:name="_Toc311732606"/>
      <w:r w:rsidRPr="009D70D3">
        <w:lastRenderedPageBreak/>
        <w:t>ATTACHMENT I</w:t>
      </w:r>
      <w:r w:rsidR="00BF1F00">
        <w:t>: Tulsa Transportation Management Area</w:t>
      </w:r>
      <w:r w:rsidRPr="009D70D3">
        <w:rPr>
          <w:rFonts w:cstheme="minorHAnsi"/>
          <w:noProof/>
          <w:sz w:val="24"/>
          <w:szCs w:val="24"/>
          <w:lang w:bidi="ar-SA"/>
        </w:rPr>
        <w:drawing>
          <wp:inline distT="0" distB="0" distL="0" distR="0">
            <wp:extent cx="5937885" cy="7689850"/>
            <wp:effectExtent l="19050" t="0" r="5715" b="0"/>
            <wp:docPr id="3" name="Picture 1" descr="tma2006_genera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2006_general_map"/>
                    <pic:cNvPicPr>
                      <a:picLocks noChangeAspect="1" noChangeArrowheads="1"/>
                    </pic:cNvPicPr>
                  </pic:nvPicPr>
                  <pic:blipFill>
                    <a:blip r:embed="rId11" cstate="print"/>
                    <a:srcRect/>
                    <a:stretch>
                      <a:fillRect/>
                    </a:stretch>
                  </pic:blipFill>
                  <pic:spPr bwMode="auto">
                    <a:xfrm>
                      <a:off x="0" y="0"/>
                      <a:ext cx="5937885" cy="7686675"/>
                    </a:xfrm>
                    <a:prstGeom prst="rect">
                      <a:avLst/>
                    </a:prstGeom>
                    <a:noFill/>
                    <a:ln w="9525">
                      <a:noFill/>
                      <a:miter lim="800000"/>
                      <a:headEnd/>
                      <a:tailEnd/>
                    </a:ln>
                  </pic:spPr>
                </pic:pic>
              </a:graphicData>
            </a:graphic>
          </wp:inline>
        </w:drawing>
      </w:r>
      <w:bookmarkEnd w:id="15"/>
    </w:p>
    <w:p w:rsidR="00580CC9" w:rsidRPr="009D70D3" w:rsidRDefault="00580CC9" w:rsidP="00580CC9">
      <w:pPr>
        <w:jc w:val="both"/>
        <w:rPr>
          <w:rFonts w:ascii="Tahoma" w:hAnsi="Tahoma" w:cs="Tahoma"/>
          <w:sz w:val="24"/>
          <w:szCs w:val="24"/>
        </w:rPr>
      </w:pPr>
    </w:p>
    <w:p w:rsidR="00580CC9" w:rsidRDefault="009D70D3" w:rsidP="00BF1F00">
      <w:pPr>
        <w:pStyle w:val="Heading2"/>
      </w:pPr>
      <w:bookmarkStart w:id="16" w:name="_Toc311732607"/>
      <w:r>
        <w:lastRenderedPageBreak/>
        <w:t>ATTACHMENT II</w:t>
      </w:r>
      <w:r w:rsidR="00BF1F00">
        <w:t>: Eligible School Districts</w:t>
      </w:r>
      <w:bookmarkEnd w:id="16"/>
      <w:r w:rsidR="00BF1F00">
        <w:t xml:space="preserve"> </w:t>
      </w:r>
    </w:p>
    <w:p w:rsidR="00BC622C" w:rsidRDefault="00BC622C" w:rsidP="00BC622C">
      <w:pPr>
        <w:tabs>
          <w:tab w:val="left" w:pos="7716"/>
        </w:tabs>
        <w:spacing w:after="0" w:line="240" w:lineRule="auto"/>
        <w:jc w:val="center"/>
        <w:rPr>
          <w:b/>
          <w:sz w:val="24"/>
          <w:szCs w:val="24"/>
        </w:rPr>
      </w:pPr>
    </w:p>
    <w:p w:rsidR="00BC622C" w:rsidRPr="00BF1F00" w:rsidRDefault="00BF1F00" w:rsidP="00BF1F00">
      <w:pPr>
        <w:pStyle w:val="ListParagraph"/>
        <w:numPr>
          <w:ilvl w:val="0"/>
          <w:numId w:val="2"/>
        </w:numPr>
        <w:rPr>
          <w:sz w:val="32"/>
          <w:szCs w:val="24"/>
        </w:rPr>
      </w:pPr>
      <w:r w:rsidRPr="00BF1F00">
        <w:rPr>
          <w:sz w:val="32"/>
          <w:szCs w:val="24"/>
        </w:rPr>
        <w:t xml:space="preserve">Berryhill Public Schools </w:t>
      </w:r>
    </w:p>
    <w:p w:rsidR="00BF1F00" w:rsidRPr="00BF1F00" w:rsidRDefault="00BF1F00" w:rsidP="00BF1F00">
      <w:pPr>
        <w:pStyle w:val="ListParagraph"/>
        <w:numPr>
          <w:ilvl w:val="0"/>
          <w:numId w:val="2"/>
        </w:numPr>
        <w:rPr>
          <w:sz w:val="32"/>
          <w:szCs w:val="24"/>
        </w:rPr>
      </w:pPr>
      <w:r w:rsidRPr="00BF1F00">
        <w:rPr>
          <w:sz w:val="32"/>
          <w:szCs w:val="24"/>
        </w:rPr>
        <w:t>Bixby Public Schools</w:t>
      </w:r>
    </w:p>
    <w:p w:rsidR="00BF1F00" w:rsidRPr="00BF1F00" w:rsidRDefault="00BF1F00" w:rsidP="00BF1F00">
      <w:pPr>
        <w:pStyle w:val="ListParagraph"/>
        <w:numPr>
          <w:ilvl w:val="0"/>
          <w:numId w:val="2"/>
        </w:numPr>
        <w:rPr>
          <w:sz w:val="32"/>
          <w:szCs w:val="24"/>
        </w:rPr>
      </w:pPr>
      <w:r w:rsidRPr="00BF1F00">
        <w:rPr>
          <w:sz w:val="32"/>
          <w:szCs w:val="24"/>
        </w:rPr>
        <w:t>Broken Arrow Public Schools</w:t>
      </w:r>
    </w:p>
    <w:p w:rsidR="00BF1F00" w:rsidRDefault="00BF1F00" w:rsidP="00BF1F00">
      <w:pPr>
        <w:pStyle w:val="ListParagraph"/>
        <w:numPr>
          <w:ilvl w:val="0"/>
          <w:numId w:val="2"/>
        </w:numPr>
        <w:rPr>
          <w:sz w:val="32"/>
          <w:szCs w:val="24"/>
        </w:rPr>
      </w:pPr>
      <w:r w:rsidRPr="00BF1F00">
        <w:rPr>
          <w:sz w:val="32"/>
          <w:szCs w:val="24"/>
        </w:rPr>
        <w:t>Catoosa Public Schools</w:t>
      </w:r>
    </w:p>
    <w:p w:rsidR="004E13EE" w:rsidRPr="00BF1F00" w:rsidRDefault="004E13EE" w:rsidP="00BF1F00">
      <w:pPr>
        <w:pStyle w:val="ListParagraph"/>
        <w:numPr>
          <w:ilvl w:val="0"/>
          <w:numId w:val="2"/>
        </w:numPr>
        <w:rPr>
          <w:sz w:val="32"/>
          <w:szCs w:val="24"/>
        </w:rPr>
      </w:pPr>
      <w:r>
        <w:rPr>
          <w:sz w:val="32"/>
          <w:szCs w:val="24"/>
        </w:rPr>
        <w:t xml:space="preserve">Central Technology </w:t>
      </w:r>
      <w:r w:rsidR="00CC6CAE">
        <w:rPr>
          <w:sz w:val="32"/>
          <w:szCs w:val="24"/>
        </w:rPr>
        <w:t>Center</w:t>
      </w:r>
    </w:p>
    <w:p w:rsidR="00BF1F00" w:rsidRPr="00BF1F00" w:rsidRDefault="00BF1F00" w:rsidP="00BF1F00">
      <w:pPr>
        <w:pStyle w:val="ListParagraph"/>
        <w:numPr>
          <w:ilvl w:val="0"/>
          <w:numId w:val="2"/>
        </w:numPr>
        <w:rPr>
          <w:sz w:val="32"/>
          <w:szCs w:val="24"/>
        </w:rPr>
      </w:pPr>
      <w:r w:rsidRPr="00BF1F00">
        <w:rPr>
          <w:sz w:val="32"/>
          <w:szCs w:val="24"/>
        </w:rPr>
        <w:t>Claremore Public Schools</w:t>
      </w:r>
    </w:p>
    <w:p w:rsidR="00BF1F00" w:rsidRPr="00BF1F00" w:rsidRDefault="00BF1F00" w:rsidP="00BF1F00">
      <w:pPr>
        <w:pStyle w:val="ListParagraph"/>
        <w:numPr>
          <w:ilvl w:val="0"/>
          <w:numId w:val="2"/>
        </w:numPr>
        <w:rPr>
          <w:sz w:val="32"/>
          <w:szCs w:val="24"/>
        </w:rPr>
      </w:pPr>
      <w:r w:rsidRPr="00BF1F00">
        <w:rPr>
          <w:sz w:val="32"/>
          <w:szCs w:val="24"/>
        </w:rPr>
        <w:t>Collinsville Public Schools</w:t>
      </w:r>
    </w:p>
    <w:p w:rsidR="00BF1F00" w:rsidRPr="00BF1F00" w:rsidRDefault="00BF1F00" w:rsidP="00BF1F00">
      <w:pPr>
        <w:pStyle w:val="ListParagraph"/>
        <w:numPr>
          <w:ilvl w:val="0"/>
          <w:numId w:val="2"/>
        </w:numPr>
        <w:rPr>
          <w:sz w:val="32"/>
          <w:szCs w:val="24"/>
        </w:rPr>
      </w:pPr>
      <w:r w:rsidRPr="00BF1F00">
        <w:rPr>
          <w:sz w:val="32"/>
          <w:szCs w:val="24"/>
        </w:rPr>
        <w:t>Coweta Public Schools</w:t>
      </w:r>
    </w:p>
    <w:p w:rsidR="00BF1F00" w:rsidRPr="00BF1F00" w:rsidRDefault="00BF1F00" w:rsidP="00BF1F00">
      <w:pPr>
        <w:pStyle w:val="ListParagraph"/>
        <w:numPr>
          <w:ilvl w:val="0"/>
          <w:numId w:val="2"/>
        </w:numPr>
        <w:rPr>
          <w:sz w:val="32"/>
          <w:szCs w:val="24"/>
        </w:rPr>
      </w:pPr>
      <w:r w:rsidRPr="00BF1F00">
        <w:rPr>
          <w:sz w:val="32"/>
          <w:szCs w:val="24"/>
        </w:rPr>
        <w:t>Glenpool Public Schools</w:t>
      </w:r>
    </w:p>
    <w:p w:rsidR="00BF1F00" w:rsidRPr="00BF1F00" w:rsidRDefault="00BF1F00" w:rsidP="00BF1F00">
      <w:pPr>
        <w:pStyle w:val="ListParagraph"/>
        <w:numPr>
          <w:ilvl w:val="0"/>
          <w:numId w:val="2"/>
        </w:numPr>
        <w:rPr>
          <w:sz w:val="32"/>
          <w:szCs w:val="24"/>
        </w:rPr>
      </w:pPr>
      <w:r w:rsidRPr="00BF1F00">
        <w:rPr>
          <w:sz w:val="32"/>
          <w:szCs w:val="24"/>
        </w:rPr>
        <w:t>Jenks Public Schools</w:t>
      </w:r>
    </w:p>
    <w:p w:rsidR="00BF1F00" w:rsidRPr="00BF1F00" w:rsidRDefault="00BF1F00" w:rsidP="00BF1F00">
      <w:pPr>
        <w:pStyle w:val="ListParagraph"/>
        <w:numPr>
          <w:ilvl w:val="0"/>
          <w:numId w:val="2"/>
        </w:numPr>
        <w:rPr>
          <w:sz w:val="32"/>
          <w:szCs w:val="24"/>
        </w:rPr>
      </w:pPr>
      <w:r w:rsidRPr="00BF1F00">
        <w:rPr>
          <w:sz w:val="32"/>
          <w:szCs w:val="24"/>
        </w:rPr>
        <w:t>Kiefer Public Schools</w:t>
      </w:r>
    </w:p>
    <w:p w:rsidR="00BF1F00" w:rsidRPr="00BF1F00" w:rsidRDefault="00BF1F00" w:rsidP="00BF1F00">
      <w:pPr>
        <w:pStyle w:val="ListParagraph"/>
        <w:numPr>
          <w:ilvl w:val="0"/>
          <w:numId w:val="2"/>
        </w:numPr>
        <w:rPr>
          <w:sz w:val="32"/>
          <w:szCs w:val="24"/>
        </w:rPr>
      </w:pPr>
      <w:r w:rsidRPr="00BF1F00">
        <w:rPr>
          <w:sz w:val="32"/>
          <w:szCs w:val="24"/>
        </w:rPr>
        <w:t>Mounds Public Schools</w:t>
      </w:r>
    </w:p>
    <w:p w:rsidR="00BF1F00" w:rsidRPr="00BF1F00" w:rsidRDefault="00BF1F00" w:rsidP="00BF1F00">
      <w:pPr>
        <w:pStyle w:val="ListParagraph"/>
        <w:numPr>
          <w:ilvl w:val="0"/>
          <w:numId w:val="2"/>
        </w:numPr>
        <w:rPr>
          <w:sz w:val="32"/>
          <w:szCs w:val="24"/>
        </w:rPr>
      </w:pPr>
      <w:r w:rsidRPr="00BF1F00">
        <w:rPr>
          <w:sz w:val="32"/>
          <w:szCs w:val="24"/>
        </w:rPr>
        <w:t>Owasso Public Schools</w:t>
      </w:r>
    </w:p>
    <w:p w:rsidR="00BF1F00" w:rsidRPr="00BF1F00" w:rsidRDefault="00BF1F00" w:rsidP="00BF1F00">
      <w:pPr>
        <w:pStyle w:val="ListParagraph"/>
        <w:numPr>
          <w:ilvl w:val="0"/>
          <w:numId w:val="2"/>
        </w:numPr>
        <w:rPr>
          <w:sz w:val="32"/>
          <w:szCs w:val="24"/>
        </w:rPr>
      </w:pPr>
      <w:r w:rsidRPr="00BF1F00">
        <w:rPr>
          <w:sz w:val="32"/>
          <w:szCs w:val="24"/>
        </w:rPr>
        <w:t>Sand Springs Public Schools</w:t>
      </w:r>
    </w:p>
    <w:p w:rsidR="00BF1F00" w:rsidRPr="00BF1F00" w:rsidRDefault="00BF1F00" w:rsidP="00BF1F00">
      <w:pPr>
        <w:pStyle w:val="ListParagraph"/>
        <w:numPr>
          <w:ilvl w:val="0"/>
          <w:numId w:val="2"/>
        </w:numPr>
        <w:rPr>
          <w:sz w:val="32"/>
          <w:szCs w:val="24"/>
        </w:rPr>
      </w:pPr>
      <w:r w:rsidRPr="00BF1F00">
        <w:rPr>
          <w:sz w:val="32"/>
          <w:szCs w:val="24"/>
        </w:rPr>
        <w:t>Sapulpa Public Schools</w:t>
      </w:r>
    </w:p>
    <w:p w:rsidR="00BF1F00" w:rsidRPr="00BF1F00" w:rsidRDefault="00BF1F00" w:rsidP="00BF1F00">
      <w:pPr>
        <w:pStyle w:val="ListParagraph"/>
        <w:numPr>
          <w:ilvl w:val="0"/>
          <w:numId w:val="2"/>
        </w:numPr>
        <w:rPr>
          <w:sz w:val="32"/>
          <w:szCs w:val="24"/>
        </w:rPr>
      </w:pPr>
      <w:r w:rsidRPr="00BF1F00">
        <w:rPr>
          <w:sz w:val="32"/>
          <w:szCs w:val="24"/>
        </w:rPr>
        <w:t>Skiatook Public Schools</w:t>
      </w:r>
    </w:p>
    <w:p w:rsidR="00BF1F00" w:rsidRPr="00BF1F00" w:rsidRDefault="00BF1F00" w:rsidP="00BF1F00">
      <w:pPr>
        <w:pStyle w:val="ListParagraph"/>
        <w:numPr>
          <w:ilvl w:val="0"/>
          <w:numId w:val="2"/>
        </w:numPr>
        <w:rPr>
          <w:sz w:val="32"/>
          <w:szCs w:val="24"/>
        </w:rPr>
      </w:pPr>
      <w:r w:rsidRPr="00BF1F00">
        <w:rPr>
          <w:sz w:val="32"/>
          <w:szCs w:val="24"/>
        </w:rPr>
        <w:t>Sperry Public Schools</w:t>
      </w:r>
    </w:p>
    <w:p w:rsidR="00BF1F00" w:rsidRDefault="00BF1F00" w:rsidP="00BF1F00">
      <w:pPr>
        <w:pStyle w:val="ListParagraph"/>
        <w:numPr>
          <w:ilvl w:val="0"/>
          <w:numId w:val="2"/>
        </w:numPr>
        <w:rPr>
          <w:sz w:val="32"/>
          <w:szCs w:val="24"/>
        </w:rPr>
      </w:pPr>
      <w:r w:rsidRPr="00BF1F00">
        <w:rPr>
          <w:sz w:val="32"/>
          <w:szCs w:val="24"/>
        </w:rPr>
        <w:t>Tulsa Public Schools</w:t>
      </w:r>
    </w:p>
    <w:p w:rsidR="004E13EE" w:rsidRPr="00BF1F00" w:rsidRDefault="004E13EE" w:rsidP="00BF1F00">
      <w:pPr>
        <w:pStyle w:val="ListParagraph"/>
        <w:numPr>
          <w:ilvl w:val="0"/>
          <w:numId w:val="2"/>
        </w:numPr>
        <w:rPr>
          <w:sz w:val="32"/>
          <w:szCs w:val="24"/>
        </w:rPr>
      </w:pPr>
      <w:r>
        <w:rPr>
          <w:sz w:val="32"/>
          <w:szCs w:val="24"/>
        </w:rPr>
        <w:t xml:space="preserve">Tulsa Technology </w:t>
      </w:r>
      <w:r w:rsidR="00CC6CAE">
        <w:rPr>
          <w:sz w:val="32"/>
          <w:szCs w:val="24"/>
        </w:rPr>
        <w:t>Center</w:t>
      </w:r>
    </w:p>
    <w:p w:rsidR="00BF1F00" w:rsidRPr="00BF1F00" w:rsidRDefault="00BF1F00" w:rsidP="00BF1F00">
      <w:pPr>
        <w:pStyle w:val="ListParagraph"/>
        <w:numPr>
          <w:ilvl w:val="0"/>
          <w:numId w:val="2"/>
        </w:numPr>
        <w:rPr>
          <w:sz w:val="32"/>
          <w:szCs w:val="24"/>
        </w:rPr>
      </w:pPr>
      <w:r w:rsidRPr="00BF1F00">
        <w:rPr>
          <w:sz w:val="32"/>
          <w:szCs w:val="24"/>
        </w:rPr>
        <w:t>Union Public Schools</w:t>
      </w:r>
    </w:p>
    <w:p w:rsidR="00BF1F00" w:rsidRPr="00BF1F00" w:rsidRDefault="00BF1F00" w:rsidP="00BF1F00">
      <w:pPr>
        <w:pStyle w:val="ListParagraph"/>
        <w:numPr>
          <w:ilvl w:val="0"/>
          <w:numId w:val="2"/>
        </w:numPr>
        <w:rPr>
          <w:sz w:val="32"/>
          <w:szCs w:val="24"/>
        </w:rPr>
      </w:pPr>
      <w:r w:rsidRPr="00BF1F00">
        <w:rPr>
          <w:sz w:val="32"/>
          <w:szCs w:val="24"/>
        </w:rPr>
        <w:t>Verdigris Public Schools</w:t>
      </w:r>
    </w:p>
    <w:p w:rsidR="00BC622C" w:rsidRPr="00BC622C" w:rsidRDefault="00BC622C" w:rsidP="00BC622C">
      <w:pPr>
        <w:rPr>
          <w:sz w:val="24"/>
          <w:szCs w:val="24"/>
        </w:rPr>
      </w:pPr>
    </w:p>
    <w:p w:rsidR="00BC622C" w:rsidRPr="00BC622C" w:rsidRDefault="00BC622C" w:rsidP="00BC622C">
      <w:pPr>
        <w:rPr>
          <w:sz w:val="24"/>
          <w:szCs w:val="24"/>
        </w:rPr>
      </w:pPr>
    </w:p>
    <w:p w:rsidR="00BC622C" w:rsidRPr="00BC622C" w:rsidRDefault="00BC622C" w:rsidP="00BC622C">
      <w:pPr>
        <w:rPr>
          <w:sz w:val="24"/>
          <w:szCs w:val="24"/>
        </w:rPr>
      </w:pPr>
    </w:p>
    <w:p w:rsidR="00BC622C" w:rsidRPr="00BC622C" w:rsidRDefault="00BC622C" w:rsidP="00BC622C">
      <w:pPr>
        <w:rPr>
          <w:sz w:val="24"/>
          <w:szCs w:val="24"/>
        </w:rPr>
      </w:pPr>
    </w:p>
    <w:p w:rsidR="00B71755" w:rsidRDefault="00B71755" w:rsidP="00BF1F00">
      <w:pPr>
        <w:pStyle w:val="Heading2"/>
        <w:spacing w:before="0" w:line="240" w:lineRule="auto"/>
      </w:pPr>
      <w:bookmarkStart w:id="17" w:name="_Toc311732608"/>
      <w:r>
        <w:lastRenderedPageBreak/>
        <w:t>ATTACHMENT III</w:t>
      </w:r>
      <w:r w:rsidR="00BF1F00">
        <w:t xml:space="preserve">: </w:t>
      </w:r>
      <w:r>
        <w:t>Criteria Scoring Guide</w:t>
      </w:r>
      <w:bookmarkEnd w:id="17"/>
    </w:p>
    <w:p w:rsidR="00BF1F00" w:rsidRPr="00BF1F00" w:rsidRDefault="00BF1F00" w:rsidP="00BF1F00">
      <w:pPr>
        <w:spacing w:line="240" w:lineRule="auto"/>
      </w:pPr>
    </w:p>
    <w:p w:rsidR="00503A60" w:rsidRPr="0018217E" w:rsidRDefault="00402BC2" w:rsidP="00BF1F00">
      <w:pPr>
        <w:pStyle w:val="ListParagraph"/>
        <w:numPr>
          <w:ilvl w:val="0"/>
          <w:numId w:val="11"/>
        </w:numPr>
        <w:spacing w:line="240" w:lineRule="auto"/>
        <w:rPr>
          <w:b/>
          <w:sz w:val="24"/>
          <w:szCs w:val="24"/>
        </w:rPr>
      </w:pPr>
      <w:r w:rsidRPr="0018217E">
        <w:rPr>
          <w:b/>
          <w:sz w:val="24"/>
          <w:szCs w:val="24"/>
        </w:rPr>
        <w:t xml:space="preserve"> </w:t>
      </w:r>
      <w:r w:rsidR="00503A60" w:rsidRPr="0018217E">
        <w:rPr>
          <w:b/>
          <w:sz w:val="24"/>
          <w:szCs w:val="24"/>
        </w:rPr>
        <w:t>Alternative Fuel Infrastructure – Accessibility</w:t>
      </w:r>
      <w:r w:rsidR="00C364CA">
        <w:rPr>
          <w:b/>
          <w:sz w:val="24"/>
          <w:szCs w:val="24"/>
        </w:rPr>
        <w:t xml:space="preserve"> (Maximum Points 3)</w:t>
      </w:r>
    </w:p>
    <w:p w:rsidR="00503A60" w:rsidRDefault="00503A60" w:rsidP="00BF1F00">
      <w:pPr>
        <w:spacing w:line="240" w:lineRule="auto"/>
        <w:rPr>
          <w:sz w:val="24"/>
          <w:szCs w:val="24"/>
        </w:rPr>
      </w:pPr>
      <w:r>
        <w:rPr>
          <w:sz w:val="24"/>
          <w:szCs w:val="24"/>
        </w:rPr>
        <w:t>Points will be given for the accessibility of a given alternative fueling infrastructure project.</w:t>
      </w:r>
    </w:p>
    <w:tbl>
      <w:tblPr>
        <w:tblStyle w:val="TableGrid"/>
        <w:tblW w:w="0" w:type="auto"/>
        <w:tblLook w:val="04A0"/>
      </w:tblPr>
      <w:tblGrid>
        <w:gridCol w:w="4788"/>
        <w:gridCol w:w="4788"/>
      </w:tblGrid>
      <w:tr w:rsidR="00503A60" w:rsidTr="00503A60">
        <w:tc>
          <w:tcPr>
            <w:tcW w:w="4788" w:type="dxa"/>
          </w:tcPr>
          <w:p w:rsidR="00503A60" w:rsidRPr="00236A5F" w:rsidRDefault="00503A60" w:rsidP="00BF1F00">
            <w:pPr>
              <w:rPr>
                <w:b/>
                <w:sz w:val="24"/>
                <w:szCs w:val="24"/>
              </w:rPr>
            </w:pPr>
            <w:r w:rsidRPr="00236A5F">
              <w:rPr>
                <w:b/>
                <w:sz w:val="24"/>
                <w:szCs w:val="24"/>
              </w:rPr>
              <w:tab/>
              <w:t>SCORE</w:t>
            </w:r>
          </w:p>
        </w:tc>
        <w:tc>
          <w:tcPr>
            <w:tcW w:w="4788" w:type="dxa"/>
          </w:tcPr>
          <w:p w:rsidR="00503A60" w:rsidRPr="00236A5F" w:rsidRDefault="00503A60" w:rsidP="00BF1F00">
            <w:pPr>
              <w:rPr>
                <w:b/>
                <w:sz w:val="24"/>
                <w:szCs w:val="24"/>
              </w:rPr>
            </w:pPr>
            <w:r w:rsidRPr="00236A5F">
              <w:rPr>
                <w:b/>
                <w:sz w:val="24"/>
                <w:szCs w:val="24"/>
              </w:rPr>
              <w:t>DEFINITION</w:t>
            </w:r>
          </w:p>
        </w:tc>
      </w:tr>
      <w:tr w:rsidR="00503A60" w:rsidTr="00503A60">
        <w:tc>
          <w:tcPr>
            <w:tcW w:w="4788" w:type="dxa"/>
          </w:tcPr>
          <w:p w:rsidR="00503A60" w:rsidRDefault="00503A60" w:rsidP="00BF1F00">
            <w:pPr>
              <w:rPr>
                <w:sz w:val="24"/>
                <w:szCs w:val="24"/>
              </w:rPr>
            </w:pPr>
            <w:r>
              <w:rPr>
                <w:sz w:val="24"/>
                <w:szCs w:val="24"/>
              </w:rPr>
              <w:t>3</w:t>
            </w:r>
          </w:p>
        </w:tc>
        <w:tc>
          <w:tcPr>
            <w:tcW w:w="4788" w:type="dxa"/>
          </w:tcPr>
          <w:p w:rsidR="00503A60" w:rsidRDefault="00503A60" w:rsidP="00BF1F00">
            <w:pPr>
              <w:rPr>
                <w:sz w:val="24"/>
                <w:szCs w:val="24"/>
              </w:rPr>
            </w:pPr>
            <w:r>
              <w:rPr>
                <w:sz w:val="24"/>
                <w:szCs w:val="24"/>
              </w:rPr>
              <w:t>Public/private partnership providing fast-fill/fast charge, multi fleet access and general public access with universal card reader</w:t>
            </w:r>
          </w:p>
        </w:tc>
      </w:tr>
      <w:tr w:rsidR="00503A60" w:rsidTr="00503A60">
        <w:tc>
          <w:tcPr>
            <w:tcW w:w="4788" w:type="dxa"/>
          </w:tcPr>
          <w:p w:rsidR="00503A60" w:rsidRDefault="00503A60" w:rsidP="00BF1F00">
            <w:pPr>
              <w:rPr>
                <w:sz w:val="24"/>
                <w:szCs w:val="24"/>
              </w:rPr>
            </w:pPr>
            <w:r>
              <w:rPr>
                <w:sz w:val="24"/>
                <w:szCs w:val="24"/>
              </w:rPr>
              <w:t>2</w:t>
            </w:r>
          </w:p>
        </w:tc>
        <w:tc>
          <w:tcPr>
            <w:tcW w:w="4788" w:type="dxa"/>
          </w:tcPr>
          <w:p w:rsidR="00503A60" w:rsidRDefault="00503A60" w:rsidP="00BF1F00">
            <w:pPr>
              <w:rPr>
                <w:sz w:val="24"/>
                <w:szCs w:val="24"/>
              </w:rPr>
            </w:pPr>
            <w:r>
              <w:rPr>
                <w:sz w:val="24"/>
                <w:szCs w:val="24"/>
              </w:rPr>
              <w:t>Public sector, multi-fleet access with universal card reader</w:t>
            </w:r>
          </w:p>
        </w:tc>
      </w:tr>
      <w:tr w:rsidR="00503A60" w:rsidTr="00503A60">
        <w:tc>
          <w:tcPr>
            <w:tcW w:w="4788" w:type="dxa"/>
          </w:tcPr>
          <w:p w:rsidR="00503A60" w:rsidRDefault="00503A60" w:rsidP="00BF1F00">
            <w:pPr>
              <w:rPr>
                <w:sz w:val="24"/>
                <w:szCs w:val="24"/>
              </w:rPr>
            </w:pPr>
            <w:r>
              <w:rPr>
                <w:sz w:val="24"/>
                <w:szCs w:val="24"/>
              </w:rPr>
              <w:t>1</w:t>
            </w:r>
          </w:p>
        </w:tc>
        <w:tc>
          <w:tcPr>
            <w:tcW w:w="4788" w:type="dxa"/>
          </w:tcPr>
          <w:p w:rsidR="00503A60" w:rsidRDefault="00503A60" w:rsidP="00BF1F00">
            <w:pPr>
              <w:rPr>
                <w:sz w:val="24"/>
                <w:szCs w:val="24"/>
              </w:rPr>
            </w:pPr>
            <w:r>
              <w:rPr>
                <w:sz w:val="24"/>
                <w:szCs w:val="24"/>
              </w:rPr>
              <w:t>Single-fleet access</w:t>
            </w:r>
          </w:p>
        </w:tc>
      </w:tr>
    </w:tbl>
    <w:p w:rsidR="00DF0076" w:rsidRDefault="00DF0076" w:rsidP="00BF1F00">
      <w:pPr>
        <w:spacing w:line="240" w:lineRule="auto"/>
        <w:rPr>
          <w:sz w:val="24"/>
          <w:szCs w:val="24"/>
        </w:rPr>
      </w:pPr>
    </w:p>
    <w:p w:rsidR="00DF0076" w:rsidRPr="0018217E" w:rsidRDefault="00DF0076" w:rsidP="00BF1F00">
      <w:pPr>
        <w:pStyle w:val="ListParagraph"/>
        <w:numPr>
          <w:ilvl w:val="0"/>
          <w:numId w:val="11"/>
        </w:numPr>
        <w:spacing w:line="240" w:lineRule="auto"/>
        <w:rPr>
          <w:b/>
          <w:sz w:val="24"/>
          <w:szCs w:val="24"/>
        </w:rPr>
      </w:pPr>
      <w:r w:rsidRPr="0018217E">
        <w:rPr>
          <w:b/>
          <w:sz w:val="24"/>
          <w:szCs w:val="24"/>
        </w:rPr>
        <w:t>Alternative Fuel Infrastructure – Throughput</w:t>
      </w:r>
      <w:r w:rsidR="00C364CA">
        <w:rPr>
          <w:b/>
          <w:sz w:val="24"/>
          <w:szCs w:val="24"/>
        </w:rPr>
        <w:t xml:space="preserve"> (Maximum Points 10)</w:t>
      </w:r>
    </w:p>
    <w:p w:rsidR="00DF0076" w:rsidRDefault="00DF0076" w:rsidP="00BF1F00">
      <w:pPr>
        <w:spacing w:line="240" w:lineRule="auto"/>
        <w:rPr>
          <w:sz w:val="24"/>
          <w:szCs w:val="24"/>
        </w:rPr>
      </w:pPr>
      <w:r>
        <w:rPr>
          <w:sz w:val="24"/>
          <w:szCs w:val="24"/>
        </w:rPr>
        <w:t xml:space="preserve">Points will be given for the throughput of a given alternative fueling infrastructure project. </w:t>
      </w:r>
    </w:p>
    <w:tbl>
      <w:tblPr>
        <w:tblStyle w:val="TableGrid"/>
        <w:tblW w:w="0" w:type="auto"/>
        <w:tblLook w:val="04A0"/>
      </w:tblPr>
      <w:tblGrid>
        <w:gridCol w:w="4788"/>
        <w:gridCol w:w="4788"/>
      </w:tblGrid>
      <w:tr w:rsidR="00DF0076" w:rsidTr="00DF0076">
        <w:tc>
          <w:tcPr>
            <w:tcW w:w="4788" w:type="dxa"/>
          </w:tcPr>
          <w:p w:rsidR="00DF0076" w:rsidRPr="00236A5F" w:rsidRDefault="00DF0076" w:rsidP="00BF1F00">
            <w:pPr>
              <w:rPr>
                <w:b/>
                <w:sz w:val="24"/>
                <w:szCs w:val="24"/>
              </w:rPr>
            </w:pPr>
            <w:r w:rsidRPr="00236A5F">
              <w:rPr>
                <w:b/>
                <w:sz w:val="24"/>
                <w:szCs w:val="24"/>
              </w:rPr>
              <w:t>SCORE</w:t>
            </w:r>
          </w:p>
        </w:tc>
        <w:tc>
          <w:tcPr>
            <w:tcW w:w="4788" w:type="dxa"/>
          </w:tcPr>
          <w:p w:rsidR="00DF0076" w:rsidRPr="00236A5F" w:rsidRDefault="00DF0076" w:rsidP="00BF1F00">
            <w:pPr>
              <w:rPr>
                <w:b/>
                <w:sz w:val="24"/>
                <w:szCs w:val="24"/>
              </w:rPr>
            </w:pPr>
            <w:r w:rsidRPr="00236A5F">
              <w:rPr>
                <w:b/>
                <w:sz w:val="24"/>
                <w:szCs w:val="24"/>
              </w:rPr>
              <w:t>DEFINITION</w:t>
            </w:r>
          </w:p>
        </w:tc>
      </w:tr>
      <w:tr w:rsidR="00DF0076" w:rsidTr="00DF0076">
        <w:tc>
          <w:tcPr>
            <w:tcW w:w="4788" w:type="dxa"/>
          </w:tcPr>
          <w:p w:rsidR="00DF0076" w:rsidRDefault="00DF0076" w:rsidP="00BF1F00">
            <w:pPr>
              <w:rPr>
                <w:sz w:val="24"/>
                <w:szCs w:val="24"/>
              </w:rPr>
            </w:pPr>
            <w:r>
              <w:rPr>
                <w:sz w:val="24"/>
                <w:szCs w:val="24"/>
              </w:rPr>
              <w:t>10</w:t>
            </w:r>
          </w:p>
        </w:tc>
        <w:tc>
          <w:tcPr>
            <w:tcW w:w="4788" w:type="dxa"/>
          </w:tcPr>
          <w:p w:rsidR="00DF0076" w:rsidRDefault="005148F7" w:rsidP="00BF1F00">
            <w:pPr>
              <w:rPr>
                <w:sz w:val="24"/>
                <w:szCs w:val="24"/>
              </w:rPr>
            </w:pPr>
            <w:r>
              <w:rPr>
                <w:rFonts w:cstheme="minorHAnsi"/>
                <w:sz w:val="24"/>
                <w:szCs w:val="24"/>
              </w:rPr>
              <w:t>≥</w:t>
            </w:r>
            <w:r>
              <w:rPr>
                <w:sz w:val="24"/>
                <w:szCs w:val="24"/>
              </w:rPr>
              <w:t xml:space="preserve"> 150,000 annual GGE</w:t>
            </w:r>
          </w:p>
        </w:tc>
      </w:tr>
      <w:tr w:rsidR="00DF0076" w:rsidTr="00DF0076">
        <w:tc>
          <w:tcPr>
            <w:tcW w:w="4788" w:type="dxa"/>
          </w:tcPr>
          <w:p w:rsidR="00DF0076" w:rsidRDefault="00DF0076" w:rsidP="00BF1F00">
            <w:pPr>
              <w:rPr>
                <w:sz w:val="24"/>
                <w:szCs w:val="24"/>
              </w:rPr>
            </w:pPr>
            <w:r>
              <w:rPr>
                <w:sz w:val="24"/>
                <w:szCs w:val="24"/>
              </w:rPr>
              <w:t>9</w:t>
            </w:r>
          </w:p>
        </w:tc>
        <w:tc>
          <w:tcPr>
            <w:tcW w:w="4788" w:type="dxa"/>
          </w:tcPr>
          <w:p w:rsidR="00DF0076" w:rsidRDefault="005148F7" w:rsidP="00BF1F00">
            <w:pPr>
              <w:rPr>
                <w:sz w:val="24"/>
                <w:szCs w:val="24"/>
              </w:rPr>
            </w:pPr>
            <w:r>
              <w:rPr>
                <w:sz w:val="24"/>
                <w:szCs w:val="24"/>
              </w:rPr>
              <w:t>125,000 - 149,000 annual GGE</w:t>
            </w:r>
          </w:p>
        </w:tc>
      </w:tr>
      <w:tr w:rsidR="00DF0076" w:rsidTr="00DF0076">
        <w:tc>
          <w:tcPr>
            <w:tcW w:w="4788" w:type="dxa"/>
          </w:tcPr>
          <w:p w:rsidR="00DF0076" w:rsidRDefault="00DF0076" w:rsidP="00BF1F00">
            <w:pPr>
              <w:rPr>
                <w:sz w:val="24"/>
                <w:szCs w:val="24"/>
              </w:rPr>
            </w:pPr>
            <w:r>
              <w:rPr>
                <w:sz w:val="24"/>
                <w:szCs w:val="24"/>
              </w:rPr>
              <w:t>8</w:t>
            </w:r>
          </w:p>
        </w:tc>
        <w:tc>
          <w:tcPr>
            <w:tcW w:w="4788" w:type="dxa"/>
          </w:tcPr>
          <w:p w:rsidR="00DF0076" w:rsidRDefault="005148F7" w:rsidP="00BF1F00">
            <w:pPr>
              <w:rPr>
                <w:sz w:val="24"/>
                <w:szCs w:val="24"/>
              </w:rPr>
            </w:pPr>
            <w:r>
              <w:rPr>
                <w:sz w:val="24"/>
                <w:szCs w:val="24"/>
              </w:rPr>
              <w:t>100,000 – 124,999 annual GGE</w:t>
            </w:r>
          </w:p>
        </w:tc>
      </w:tr>
      <w:tr w:rsidR="00DF0076" w:rsidTr="00DF0076">
        <w:tc>
          <w:tcPr>
            <w:tcW w:w="4788" w:type="dxa"/>
          </w:tcPr>
          <w:p w:rsidR="00DF0076" w:rsidRDefault="00DF0076" w:rsidP="00BF1F00">
            <w:pPr>
              <w:rPr>
                <w:sz w:val="24"/>
                <w:szCs w:val="24"/>
              </w:rPr>
            </w:pPr>
            <w:r>
              <w:rPr>
                <w:sz w:val="24"/>
                <w:szCs w:val="24"/>
              </w:rPr>
              <w:t>7</w:t>
            </w:r>
          </w:p>
        </w:tc>
        <w:tc>
          <w:tcPr>
            <w:tcW w:w="4788" w:type="dxa"/>
          </w:tcPr>
          <w:p w:rsidR="00DF0076" w:rsidRDefault="005148F7" w:rsidP="00BF1F00">
            <w:pPr>
              <w:rPr>
                <w:sz w:val="24"/>
                <w:szCs w:val="24"/>
              </w:rPr>
            </w:pPr>
            <w:r>
              <w:rPr>
                <w:sz w:val="24"/>
                <w:szCs w:val="24"/>
              </w:rPr>
              <w:t xml:space="preserve">75,000 – 99,999 annual GGE </w:t>
            </w:r>
          </w:p>
        </w:tc>
      </w:tr>
      <w:tr w:rsidR="00DF0076" w:rsidTr="00DF0076">
        <w:tc>
          <w:tcPr>
            <w:tcW w:w="4788" w:type="dxa"/>
          </w:tcPr>
          <w:p w:rsidR="00DF0076" w:rsidRDefault="00DF0076" w:rsidP="00BF1F00">
            <w:pPr>
              <w:rPr>
                <w:sz w:val="24"/>
                <w:szCs w:val="24"/>
              </w:rPr>
            </w:pPr>
            <w:r>
              <w:rPr>
                <w:sz w:val="24"/>
                <w:szCs w:val="24"/>
              </w:rPr>
              <w:t>6</w:t>
            </w:r>
          </w:p>
        </w:tc>
        <w:tc>
          <w:tcPr>
            <w:tcW w:w="4788" w:type="dxa"/>
          </w:tcPr>
          <w:p w:rsidR="00DF0076" w:rsidRDefault="005148F7" w:rsidP="00BF1F00">
            <w:pPr>
              <w:rPr>
                <w:sz w:val="24"/>
                <w:szCs w:val="24"/>
              </w:rPr>
            </w:pPr>
            <w:r>
              <w:rPr>
                <w:sz w:val="24"/>
                <w:szCs w:val="24"/>
              </w:rPr>
              <w:t>50,000 – 74,999 annual GGE</w:t>
            </w:r>
          </w:p>
        </w:tc>
      </w:tr>
      <w:tr w:rsidR="00DF0076" w:rsidTr="00DF0076">
        <w:tc>
          <w:tcPr>
            <w:tcW w:w="4788" w:type="dxa"/>
          </w:tcPr>
          <w:p w:rsidR="00DF0076" w:rsidRDefault="00DF0076" w:rsidP="00BF1F00">
            <w:pPr>
              <w:rPr>
                <w:sz w:val="24"/>
                <w:szCs w:val="24"/>
              </w:rPr>
            </w:pPr>
            <w:r>
              <w:rPr>
                <w:sz w:val="24"/>
                <w:szCs w:val="24"/>
              </w:rPr>
              <w:t>5</w:t>
            </w:r>
          </w:p>
        </w:tc>
        <w:tc>
          <w:tcPr>
            <w:tcW w:w="4788" w:type="dxa"/>
          </w:tcPr>
          <w:p w:rsidR="00DF0076" w:rsidRDefault="005148F7" w:rsidP="00BF1F00">
            <w:pPr>
              <w:rPr>
                <w:sz w:val="24"/>
                <w:szCs w:val="24"/>
              </w:rPr>
            </w:pPr>
            <w:r>
              <w:rPr>
                <w:sz w:val="24"/>
                <w:szCs w:val="24"/>
              </w:rPr>
              <w:t>25,000 – 49,999 annual GGE</w:t>
            </w:r>
          </w:p>
        </w:tc>
      </w:tr>
      <w:tr w:rsidR="00DF0076" w:rsidTr="00DF0076">
        <w:tc>
          <w:tcPr>
            <w:tcW w:w="4788" w:type="dxa"/>
          </w:tcPr>
          <w:p w:rsidR="00DF0076" w:rsidRDefault="00DF0076" w:rsidP="00BF1F00">
            <w:pPr>
              <w:rPr>
                <w:sz w:val="24"/>
                <w:szCs w:val="24"/>
              </w:rPr>
            </w:pPr>
            <w:r>
              <w:rPr>
                <w:sz w:val="24"/>
                <w:szCs w:val="24"/>
              </w:rPr>
              <w:t>4</w:t>
            </w:r>
          </w:p>
        </w:tc>
        <w:tc>
          <w:tcPr>
            <w:tcW w:w="4788" w:type="dxa"/>
          </w:tcPr>
          <w:p w:rsidR="00DF0076" w:rsidRDefault="005148F7" w:rsidP="00BF1F00">
            <w:pPr>
              <w:rPr>
                <w:sz w:val="24"/>
                <w:szCs w:val="24"/>
              </w:rPr>
            </w:pPr>
            <w:r>
              <w:rPr>
                <w:sz w:val="24"/>
                <w:szCs w:val="24"/>
              </w:rPr>
              <w:t>15,000 – 24,999 annual GGE</w:t>
            </w:r>
          </w:p>
        </w:tc>
      </w:tr>
      <w:tr w:rsidR="00DF0076" w:rsidTr="00DF0076">
        <w:tc>
          <w:tcPr>
            <w:tcW w:w="4788" w:type="dxa"/>
          </w:tcPr>
          <w:p w:rsidR="00DF0076" w:rsidRDefault="00DF0076" w:rsidP="00BF1F00">
            <w:pPr>
              <w:rPr>
                <w:sz w:val="24"/>
                <w:szCs w:val="24"/>
              </w:rPr>
            </w:pPr>
            <w:r>
              <w:rPr>
                <w:sz w:val="24"/>
                <w:szCs w:val="24"/>
              </w:rPr>
              <w:t>3</w:t>
            </w:r>
          </w:p>
        </w:tc>
        <w:tc>
          <w:tcPr>
            <w:tcW w:w="4788" w:type="dxa"/>
          </w:tcPr>
          <w:p w:rsidR="00DF0076" w:rsidRDefault="005148F7" w:rsidP="00BF1F00">
            <w:pPr>
              <w:rPr>
                <w:sz w:val="24"/>
                <w:szCs w:val="24"/>
              </w:rPr>
            </w:pPr>
            <w:r>
              <w:rPr>
                <w:sz w:val="24"/>
                <w:szCs w:val="24"/>
              </w:rPr>
              <w:t>10,000 – 14,999 annual GGE</w:t>
            </w:r>
          </w:p>
        </w:tc>
      </w:tr>
      <w:tr w:rsidR="00DF0076" w:rsidTr="00DF0076">
        <w:tc>
          <w:tcPr>
            <w:tcW w:w="4788" w:type="dxa"/>
          </w:tcPr>
          <w:p w:rsidR="00DF0076" w:rsidRDefault="00DF0076" w:rsidP="00BF1F00">
            <w:pPr>
              <w:rPr>
                <w:sz w:val="24"/>
                <w:szCs w:val="24"/>
              </w:rPr>
            </w:pPr>
            <w:r>
              <w:rPr>
                <w:sz w:val="24"/>
                <w:szCs w:val="24"/>
              </w:rPr>
              <w:t>2</w:t>
            </w:r>
          </w:p>
        </w:tc>
        <w:tc>
          <w:tcPr>
            <w:tcW w:w="4788" w:type="dxa"/>
          </w:tcPr>
          <w:p w:rsidR="00DF0076" w:rsidRDefault="005148F7" w:rsidP="00BF1F00">
            <w:pPr>
              <w:rPr>
                <w:sz w:val="24"/>
                <w:szCs w:val="24"/>
              </w:rPr>
            </w:pPr>
            <w:r>
              <w:rPr>
                <w:sz w:val="24"/>
                <w:szCs w:val="24"/>
              </w:rPr>
              <w:t>5,000 – 9,999 annual GGE</w:t>
            </w:r>
          </w:p>
        </w:tc>
      </w:tr>
      <w:tr w:rsidR="00DF0076" w:rsidTr="00DF0076">
        <w:tc>
          <w:tcPr>
            <w:tcW w:w="4788" w:type="dxa"/>
          </w:tcPr>
          <w:p w:rsidR="00DF0076" w:rsidRDefault="00DF0076" w:rsidP="00BF1F00">
            <w:pPr>
              <w:rPr>
                <w:sz w:val="24"/>
                <w:szCs w:val="24"/>
              </w:rPr>
            </w:pPr>
            <w:r>
              <w:rPr>
                <w:sz w:val="24"/>
                <w:szCs w:val="24"/>
              </w:rPr>
              <w:t>1</w:t>
            </w:r>
          </w:p>
        </w:tc>
        <w:tc>
          <w:tcPr>
            <w:tcW w:w="4788" w:type="dxa"/>
          </w:tcPr>
          <w:p w:rsidR="00DF0076" w:rsidRDefault="005148F7" w:rsidP="00BF1F00">
            <w:pPr>
              <w:rPr>
                <w:sz w:val="24"/>
                <w:szCs w:val="24"/>
              </w:rPr>
            </w:pPr>
            <w:r>
              <w:rPr>
                <w:sz w:val="24"/>
                <w:szCs w:val="24"/>
              </w:rPr>
              <w:t>1,000 – 4,999 annual GGE</w:t>
            </w:r>
          </w:p>
        </w:tc>
      </w:tr>
      <w:tr w:rsidR="00DF0076" w:rsidTr="00DF0076">
        <w:tc>
          <w:tcPr>
            <w:tcW w:w="4788" w:type="dxa"/>
          </w:tcPr>
          <w:p w:rsidR="00DF0076" w:rsidRDefault="00DF0076" w:rsidP="00BF1F00">
            <w:pPr>
              <w:rPr>
                <w:sz w:val="24"/>
                <w:szCs w:val="24"/>
              </w:rPr>
            </w:pPr>
            <w:r>
              <w:rPr>
                <w:sz w:val="24"/>
                <w:szCs w:val="24"/>
              </w:rPr>
              <w:t>0</w:t>
            </w:r>
          </w:p>
        </w:tc>
        <w:tc>
          <w:tcPr>
            <w:tcW w:w="4788" w:type="dxa"/>
          </w:tcPr>
          <w:p w:rsidR="00DF0076" w:rsidRDefault="005148F7" w:rsidP="00BF1F00">
            <w:pPr>
              <w:rPr>
                <w:sz w:val="24"/>
                <w:szCs w:val="24"/>
              </w:rPr>
            </w:pPr>
            <w:r>
              <w:rPr>
                <w:rFonts w:cstheme="minorHAnsi"/>
                <w:sz w:val="24"/>
                <w:szCs w:val="24"/>
              </w:rPr>
              <w:t>&lt;</w:t>
            </w:r>
            <w:r>
              <w:rPr>
                <w:sz w:val="24"/>
                <w:szCs w:val="24"/>
              </w:rPr>
              <w:t xml:space="preserve"> 1,000 annual GGE</w:t>
            </w:r>
          </w:p>
        </w:tc>
      </w:tr>
    </w:tbl>
    <w:p w:rsidR="00236A5F" w:rsidRDefault="00236A5F" w:rsidP="00BF1F00">
      <w:pPr>
        <w:spacing w:line="240" w:lineRule="auto"/>
        <w:rPr>
          <w:sz w:val="24"/>
          <w:szCs w:val="24"/>
        </w:rPr>
      </w:pPr>
    </w:p>
    <w:p w:rsidR="0018217E" w:rsidRPr="0018217E" w:rsidRDefault="0018217E" w:rsidP="00BF1F00">
      <w:pPr>
        <w:pStyle w:val="ListParagraph"/>
        <w:numPr>
          <w:ilvl w:val="0"/>
          <w:numId w:val="11"/>
        </w:numPr>
        <w:spacing w:line="240" w:lineRule="auto"/>
        <w:rPr>
          <w:b/>
          <w:sz w:val="24"/>
          <w:szCs w:val="24"/>
        </w:rPr>
      </w:pPr>
      <w:r w:rsidRPr="0018217E">
        <w:rPr>
          <w:b/>
          <w:sz w:val="24"/>
          <w:szCs w:val="24"/>
        </w:rPr>
        <w:t>Alternative Fueling Vehicle Refueling/Recharging Capacity</w:t>
      </w:r>
      <w:r w:rsidR="00C364CA">
        <w:rPr>
          <w:b/>
          <w:sz w:val="24"/>
          <w:szCs w:val="24"/>
        </w:rPr>
        <w:t xml:space="preserve">  (Maximum Points 3)</w:t>
      </w:r>
    </w:p>
    <w:p w:rsidR="0018217E" w:rsidRDefault="0018217E" w:rsidP="00BF1F00">
      <w:pPr>
        <w:spacing w:line="240" w:lineRule="auto"/>
        <w:rPr>
          <w:sz w:val="24"/>
          <w:szCs w:val="24"/>
        </w:rPr>
      </w:pPr>
      <w:r>
        <w:rPr>
          <w:sz w:val="24"/>
          <w:szCs w:val="24"/>
        </w:rPr>
        <w:t xml:space="preserve">Points will be given for the availability and viability of alternative fuel vehicle refueling, if applicable. </w:t>
      </w:r>
    </w:p>
    <w:tbl>
      <w:tblPr>
        <w:tblStyle w:val="TableGrid"/>
        <w:tblW w:w="0" w:type="auto"/>
        <w:tblLook w:val="04A0"/>
      </w:tblPr>
      <w:tblGrid>
        <w:gridCol w:w="4788"/>
        <w:gridCol w:w="4788"/>
      </w:tblGrid>
      <w:tr w:rsidR="0018217E" w:rsidTr="0018217E">
        <w:tc>
          <w:tcPr>
            <w:tcW w:w="4788" w:type="dxa"/>
          </w:tcPr>
          <w:p w:rsidR="0018217E" w:rsidRPr="00236A5F" w:rsidRDefault="0018217E" w:rsidP="00BF1F00">
            <w:pPr>
              <w:rPr>
                <w:b/>
                <w:sz w:val="24"/>
                <w:szCs w:val="24"/>
              </w:rPr>
            </w:pPr>
            <w:r w:rsidRPr="00236A5F">
              <w:rPr>
                <w:b/>
                <w:sz w:val="24"/>
                <w:szCs w:val="24"/>
              </w:rPr>
              <w:t>SCORE</w:t>
            </w:r>
          </w:p>
        </w:tc>
        <w:tc>
          <w:tcPr>
            <w:tcW w:w="4788" w:type="dxa"/>
          </w:tcPr>
          <w:p w:rsidR="0018217E" w:rsidRPr="00236A5F" w:rsidRDefault="0018217E" w:rsidP="00BF1F00">
            <w:pPr>
              <w:rPr>
                <w:b/>
                <w:sz w:val="24"/>
                <w:szCs w:val="24"/>
              </w:rPr>
            </w:pPr>
            <w:r w:rsidRPr="00236A5F">
              <w:rPr>
                <w:b/>
                <w:sz w:val="24"/>
                <w:szCs w:val="24"/>
              </w:rPr>
              <w:t>DEFINITION</w:t>
            </w:r>
          </w:p>
        </w:tc>
      </w:tr>
      <w:tr w:rsidR="0018217E" w:rsidTr="0018217E">
        <w:tc>
          <w:tcPr>
            <w:tcW w:w="4788" w:type="dxa"/>
          </w:tcPr>
          <w:p w:rsidR="0018217E" w:rsidRDefault="0018217E" w:rsidP="00BF1F00">
            <w:pPr>
              <w:rPr>
                <w:sz w:val="24"/>
                <w:szCs w:val="24"/>
              </w:rPr>
            </w:pPr>
            <w:r>
              <w:rPr>
                <w:sz w:val="24"/>
                <w:szCs w:val="24"/>
              </w:rPr>
              <w:t>3</w:t>
            </w:r>
          </w:p>
        </w:tc>
        <w:tc>
          <w:tcPr>
            <w:tcW w:w="4788" w:type="dxa"/>
          </w:tcPr>
          <w:p w:rsidR="0018217E" w:rsidRDefault="0018217E" w:rsidP="00BF1F00">
            <w:pPr>
              <w:rPr>
                <w:sz w:val="24"/>
                <w:szCs w:val="24"/>
              </w:rPr>
            </w:pPr>
            <w:r>
              <w:rPr>
                <w:sz w:val="24"/>
                <w:szCs w:val="24"/>
              </w:rPr>
              <w:t>Fleet has adequate refueling/recharging capacity to fuel its alternative fuel vehicles at its own facility.</w:t>
            </w:r>
          </w:p>
        </w:tc>
      </w:tr>
      <w:tr w:rsidR="0018217E" w:rsidTr="0018217E">
        <w:tc>
          <w:tcPr>
            <w:tcW w:w="4788" w:type="dxa"/>
          </w:tcPr>
          <w:p w:rsidR="0018217E" w:rsidRDefault="0018217E" w:rsidP="00BF1F00">
            <w:pPr>
              <w:rPr>
                <w:sz w:val="24"/>
                <w:szCs w:val="24"/>
              </w:rPr>
            </w:pPr>
            <w:r>
              <w:rPr>
                <w:sz w:val="24"/>
                <w:szCs w:val="24"/>
              </w:rPr>
              <w:t>2</w:t>
            </w:r>
          </w:p>
        </w:tc>
        <w:tc>
          <w:tcPr>
            <w:tcW w:w="4788" w:type="dxa"/>
          </w:tcPr>
          <w:p w:rsidR="0018217E" w:rsidRDefault="0018217E" w:rsidP="00BF1F00">
            <w:pPr>
              <w:rPr>
                <w:sz w:val="24"/>
                <w:szCs w:val="24"/>
              </w:rPr>
            </w:pPr>
            <w:r>
              <w:rPr>
                <w:sz w:val="24"/>
                <w:szCs w:val="24"/>
              </w:rPr>
              <w:t xml:space="preserve">Fleet had adequate refueling/recharging capacity to fuel its alternative vehicles at a combination of its own refueling facility and </w:t>
            </w:r>
            <w:r>
              <w:rPr>
                <w:sz w:val="24"/>
                <w:szCs w:val="24"/>
              </w:rPr>
              <w:lastRenderedPageBreak/>
              <w:t xml:space="preserve">nearby (within a 5 mile radius of fleet yard) public access and/or shared fleet refueling/recharging facilities. </w:t>
            </w:r>
          </w:p>
        </w:tc>
      </w:tr>
      <w:tr w:rsidR="0018217E" w:rsidTr="0018217E">
        <w:tc>
          <w:tcPr>
            <w:tcW w:w="4788" w:type="dxa"/>
          </w:tcPr>
          <w:p w:rsidR="0018217E" w:rsidRDefault="0018217E" w:rsidP="00BF1F00">
            <w:pPr>
              <w:rPr>
                <w:sz w:val="24"/>
                <w:szCs w:val="24"/>
              </w:rPr>
            </w:pPr>
            <w:r>
              <w:rPr>
                <w:sz w:val="24"/>
                <w:szCs w:val="24"/>
              </w:rPr>
              <w:lastRenderedPageBreak/>
              <w:t>1</w:t>
            </w:r>
          </w:p>
        </w:tc>
        <w:tc>
          <w:tcPr>
            <w:tcW w:w="4788" w:type="dxa"/>
          </w:tcPr>
          <w:p w:rsidR="0018217E" w:rsidRDefault="0018217E" w:rsidP="00BF1F00">
            <w:pPr>
              <w:rPr>
                <w:sz w:val="24"/>
                <w:szCs w:val="24"/>
              </w:rPr>
            </w:pPr>
            <w:r>
              <w:rPr>
                <w:sz w:val="24"/>
                <w:szCs w:val="24"/>
              </w:rPr>
              <w:t>Fleet has adequate refueling/recharging capacity to fuel its alternative fuel fleet vehicles at nearby (within a 5 mile radius of fleet yard) public access or shared fleet refueling/recharging facilities.</w:t>
            </w:r>
          </w:p>
        </w:tc>
      </w:tr>
    </w:tbl>
    <w:p w:rsidR="0018217E" w:rsidRPr="0018217E" w:rsidRDefault="0018217E" w:rsidP="00BF1F00">
      <w:pPr>
        <w:spacing w:line="240" w:lineRule="auto"/>
        <w:rPr>
          <w:sz w:val="24"/>
          <w:szCs w:val="24"/>
        </w:rPr>
      </w:pPr>
    </w:p>
    <w:p w:rsidR="00B71755" w:rsidRPr="0018217E" w:rsidRDefault="0018217E" w:rsidP="00BF1F00">
      <w:pPr>
        <w:pStyle w:val="ListParagraph"/>
        <w:numPr>
          <w:ilvl w:val="0"/>
          <w:numId w:val="11"/>
        </w:numPr>
        <w:spacing w:line="240" w:lineRule="auto"/>
        <w:rPr>
          <w:b/>
          <w:sz w:val="24"/>
          <w:szCs w:val="24"/>
        </w:rPr>
      </w:pPr>
      <w:r w:rsidRPr="0018217E">
        <w:rPr>
          <w:b/>
          <w:sz w:val="24"/>
          <w:szCs w:val="24"/>
        </w:rPr>
        <w:t>Project Viability and Likelihood of Long-term Success</w:t>
      </w:r>
      <w:r w:rsidR="00C364CA">
        <w:rPr>
          <w:b/>
          <w:sz w:val="24"/>
          <w:szCs w:val="24"/>
        </w:rPr>
        <w:t xml:space="preserve">  (Maximum Points 3)</w:t>
      </w:r>
    </w:p>
    <w:p w:rsidR="0018217E" w:rsidRDefault="0018217E" w:rsidP="00BF1F00">
      <w:pPr>
        <w:spacing w:line="240" w:lineRule="auto"/>
        <w:rPr>
          <w:sz w:val="24"/>
          <w:szCs w:val="24"/>
        </w:rPr>
      </w:pPr>
      <w:r>
        <w:rPr>
          <w:sz w:val="24"/>
          <w:szCs w:val="24"/>
        </w:rPr>
        <w:t xml:space="preserve">Points will be given to applications from entities that provide a viable plan for continued fleet incorporation of clean fuel technologies (vehicles and/or refueling, as applicable). </w:t>
      </w:r>
    </w:p>
    <w:tbl>
      <w:tblPr>
        <w:tblStyle w:val="TableGrid"/>
        <w:tblW w:w="0" w:type="auto"/>
        <w:tblLook w:val="04A0"/>
      </w:tblPr>
      <w:tblGrid>
        <w:gridCol w:w="4788"/>
        <w:gridCol w:w="4788"/>
      </w:tblGrid>
      <w:tr w:rsidR="0018217E" w:rsidTr="0018217E">
        <w:tc>
          <w:tcPr>
            <w:tcW w:w="4788" w:type="dxa"/>
          </w:tcPr>
          <w:p w:rsidR="0018217E" w:rsidRPr="00236A5F" w:rsidRDefault="0018217E" w:rsidP="00BF1F00">
            <w:pPr>
              <w:rPr>
                <w:b/>
                <w:sz w:val="24"/>
                <w:szCs w:val="24"/>
              </w:rPr>
            </w:pPr>
            <w:r w:rsidRPr="00236A5F">
              <w:rPr>
                <w:b/>
                <w:sz w:val="24"/>
                <w:szCs w:val="24"/>
              </w:rPr>
              <w:t>SCORE</w:t>
            </w:r>
          </w:p>
        </w:tc>
        <w:tc>
          <w:tcPr>
            <w:tcW w:w="4788" w:type="dxa"/>
          </w:tcPr>
          <w:p w:rsidR="0018217E" w:rsidRPr="00236A5F" w:rsidRDefault="0018217E" w:rsidP="00BF1F00">
            <w:pPr>
              <w:rPr>
                <w:b/>
                <w:sz w:val="24"/>
                <w:szCs w:val="24"/>
              </w:rPr>
            </w:pPr>
            <w:r w:rsidRPr="00236A5F">
              <w:rPr>
                <w:b/>
                <w:sz w:val="24"/>
                <w:szCs w:val="24"/>
              </w:rPr>
              <w:t>DEFINITION</w:t>
            </w:r>
          </w:p>
        </w:tc>
      </w:tr>
      <w:tr w:rsidR="0018217E" w:rsidTr="0018217E">
        <w:tc>
          <w:tcPr>
            <w:tcW w:w="4788" w:type="dxa"/>
          </w:tcPr>
          <w:p w:rsidR="0018217E" w:rsidRDefault="0018217E" w:rsidP="00BF1F00">
            <w:pPr>
              <w:rPr>
                <w:sz w:val="24"/>
                <w:szCs w:val="24"/>
              </w:rPr>
            </w:pPr>
            <w:r>
              <w:rPr>
                <w:sz w:val="24"/>
                <w:szCs w:val="24"/>
              </w:rPr>
              <w:t>3</w:t>
            </w:r>
          </w:p>
        </w:tc>
        <w:tc>
          <w:tcPr>
            <w:tcW w:w="4788" w:type="dxa"/>
          </w:tcPr>
          <w:p w:rsidR="0018217E" w:rsidRDefault="0018217E" w:rsidP="00BF1F00">
            <w:pPr>
              <w:rPr>
                <w:sz w:val="24"/>
                <w:szCs w:val="24"/>
              </w:rPr>
            </w:pPr>
            <w:r>
              <w:rPr>
                <w:sz w:val="24"/>
                <w:szCs w:val="24"/>
              </w:rPr>
              <w:t>Ap</w:t>
            </w:r>
            <w:r w:rsidR="004B35A1">
              <w:rPr>
                <w:sz w:val="24"/>
                <w:szCs w:val="24"/>
              </w:rPr>
              <w:t>plicant entity provides a viable</w:t>
            </w:r>
            <w:r>
              <w:rPr>
                <w:sz w:val="24"/>
                <w:szCs w:val="24"/>
              </w:rPr>
              <w:t xml:space="preserve"> plan for continued incorporation of clean fuel vehicle and/or refueling/recharging technologies that does not depend on continued grant funding for long-term sustainability</w:t>
            </w:r>
            <w:r w:rsidR="0033237B">
              <w:rPr>
                <w:sz w:val="24"/>
                <w:szCs w:val="24"/>
              </w:rPr>
              <w:t>.</w:t>
            </w:r>
          </w:p>
        </w:tc>
      </w:tr>
      <w:tr w:rsidR="008B39D1" w:rsidTr="0018217E">
        <w:tc>
          <w:tcPr>
            <w:tcW w:w="4788" w:type="dxa"/>
          </w:tcPr>
          <w:p w:rsidR="008B39D1" w:rsidRDefault="008B39D1" w:rsidP="00BF1F00">
            <w:pPr>
              <w:rPr>
                <w:sz w:val="24"/>
                <w:szCs w:val="24"/>
              </w:rPr>
            </w:pPr>
            <w:r>
              <w:rPr>
                <w:sz w:val="24"/>
                <w:szCs w:val="24"/>
              </w:rPr>
              <w:t>2</w:t>
            </w:r>
          </w:p>
        </w:tc>
        <w:tc>
          <w:tcPr>
            <w:tcW w:w="4788" w:type="dxa"/>
          </w:tcPr>
          <w:p w:rsidR="008B39D1" w:rsidRDefault="008B39D1" w:rsidP="00C364CA">
            <w:pPr>
              <w:rPr>
                <w:sz w:val="24"/>
                <w:szCs w:val="24"/>
              </w:rPr>
            </w:pPr>
            <w:r>
              <w:rPr>
                <w:sz w:val="24"/>
                <w:szCs w:val="24"/>
              </w:rPr>
              <w:t>Ap</w:t>
            </w:r>
            <w:r w:rsidR="004B35A1">
              <w:rPr>
                <w:sz w:val="24"/>
                <w:szCs w:val="24"/>
              </w:rPr>
              <w:t>plicant entity provides a</w:t>
            </w:r>
            <w:r>
              <w:rPr>
                <w:sz w:val="24"/>
                <w:szCs w:val="24"/>
              </w:rPr>
              <w:t xml:space="preserve"> </w:t>
            </w:r>
            <w:r w:rsidR="004B35A1">
              <w:rPr>
                <w:sz w:val="24"/>
                <w:szCs w:val="24"/>
              </w:rPr>
              <w:t xml:space="preserve">viable </w:t>
            </w:r>
            <w:r>
              <w:rPr>
                <w:sz w:val="24"/>
                <w:szCs w:val="24"/>
              </w:rPr>
              <w:t>plan for continued incorporation of clean fuel vehicle and/or refueling/recharging technologies that depend</w:t>
            </w:r>
            <w:r w:rsidR="00C364CA">
              <w:rPr>
                <w:sz w:val="24"/>
                <w:szCs w:val="24"/>
              </w:rPr>
              <w:t>s</w:t>
            </w:r>
            <w:r>
              <w:rPr>
                <w:sz w:val="24"/>
                <w:szCs w:val="24"/>
              </w:rPr>
              <w:t xml:space="preserve"> on some amo</w:t>
            </w:r>
            <w:r w:rsidR="004B35A1">
              <w:rPr>
                <w:sz w:val="24"/>
                <w:szCs w:val="24"/>
              </w:rPr>
              <w:t>unt of additional grant funding</w:t>
            </w:r>
            <w:r>
              <w:rPr>
                <w:sz w:val="24"/>
                <w:szCs w:val="24"/>
              </w:rPr>
              <w:t xml:space="preserve"> to have long-term sustainability</w:t>
            </w:r>
            <w:r w:rsidR="0033237B">
              <w:rPr>
                <w:sz w:val="24"/>
                <w:szCs w:val="24"/>
              </w:rPr>
              <w:t>.</w:t>
            </w:r>
          </w:p>
        </w:tc>
      </w:tr>
      <w:tr w:rsidR="008B39D1" w:rsidTr="0018217E">
        <w:tc>
          <w:tcPr>
            <w:tcW w:w="4788" w:type="dxa"/>
          </w:tcPr>
          <w:p w:rsidR="008B39D1" w:rsidRDefault="00C364CA" w:rsidP="00BF1F00">
            <w:pPr>
              <w:rPr>
                <w:sz w:val="24"/>
                <w:szCs w:val="24"/>
              </w:rPr>
            </w:pPr>
            <w:r>
              <w:rPr>
                <w:sz w:val="24"/>
                <w:szCs w:val="24"/>
              </w:rPr>
              <w:t>1</w:t>
            </w:r>
          </w:p>
        </w:tc>
        <w:tc>
          <w:tcPr>
            <w:tcW w:w="4788" w:type="dxa"/>
          </w:tcPr>
          <w:p w:rsidR="008B39D1" w:rsidRDefault="008B39D1" w:rsidP="00BF1F00">
            <w:pPr>
              <w:rPr>
                <w:sz w:val="24"/>
                <w:szCs w:val="24"/>
              </w:rPr>
            </w:pPr>
            <w:r>
              <w:rPr>
                <w:sz w:val="24"/>
                <w:szCs w:val="24"/>
              </w:rPr>
              <w:t>Applicant entity provides no plan for continued incorporation of clean fuel vehicle and/or refueling/recharging technologies</w:t>
            </w:r>
            <w:r w:rsidR="0033237B">
              <w:rPr>
                <w:sz w:val="24"/>
                <w:szCs w:val="24"/>
              </w:rPr>
              <w:t>.</w:t>
            </w:r>
          </w:p>
        </w:tc>
      </w:tr>
    </w:tbl>
    <w:p w:rsidR="0018217E" w:rsidRDefault="0018217E" w:rsidP="00BF1F00">
      <w:pPr>
        <w:spacing w:line="240" w:lineRule="auto"/>
        <w:rPr>
          <w:sz w:val="24"/>
          <w:szCs w:val="24"/>
        </w:rPr>
      </w:pPr>
    </w:p>
    <w:p w:rsidR="00E75512" w:rsidRPr="00E75512" w:rsidRDefault="00E75512" w:rsidP="00BF1F00">
      <w:pPr>
        <w:pStyle w:val="ListParagraph"/>
        <w:numPr>
          <w:ilvl w:val="0"/>
          <w:numId w:val="11"/>
        </w:numPr>
        <w:spacing w:line="240" w:lineRule="auto"/>
        <w:rPr>
          <w:b/>
          <w:sz w:val="24"/>
          <w:szCs w:val="24"/>
        </w:rPr>
      </w:pPr>
      <w:r w:rsidRPr="00E75512">
        <w:rPr>
          <w:b/>
          <w:sz w:val="24"/>
          <w:szCs w:val="24"/>
        </w:rPr>
        <w:t>Project Visibility and Public Awareness</w:t>
      </w:r>
      <w:r w:rsidR="00C364CA">
        <w:rPr>
          <w:b/>
          <w:sz w:val="24"/>
          <w:szCs w:val="24"/>
        </w:rPr>
        <w:t xml:space="preserve">  (Maximum Points 10)</w:t>
      </w:r>
    </w:p>
    <w:p w:rsidR="00E75512" w:rsidRDefault="00E75512" w:rsidP="00BF1F00">
      <w:pPr>
        <w:spacing w:line="240" w:lineRule="auto"/>
        <w:rPr>
          <w:sz w:val="24"/>
          <w:szCs w:val="24"/>
        </w:rPr>
      </w:pPr>
      <w:r w:rsidRPr="00E75512">
        <w:rPr>
          <w:sz w:val="24"/>
          <w:szCs w:val="24"/>
        </w:rPr>
        <w:t>Points wi</w:t>
      </w:r>
      <w:r>
        <w:rPr>
          <w:sz w:val="24"/>
          <w:szCs w:val="24"/>
        </w:rPr>
        <w:t>ll be given for the visibility and public awareness</w:t>
      </w:r>
      <w:r w:rsidRPr="00E75512">
        <w:rPr>
          <w:sz w:val="24"/>
          <w:szCs w:val="24"/>
        </w:rPr>
        <w:t xml:space="preserve"> of alternative fuel vehicle refueling, if applicable. </w:t>
      </w:r>
      <w:r>
        <w:rPr>
          <w:sz w:val="24"/>
          <w:szCs w:val="24"/>
        </w:rPr>
        <w:t xml:space="preserve"> </w:t>
      </w:r>
    </w:p>
    <w:tbl>
      <w:tblPr>
        <w:tblStyle w:val="TableGrid"/>
        <w:tblW w:w="0" w:type="auto"/>
        <w:tblLook w:val="04A0"/>
      </w:tblPr>
      <w:tblGrid>
        <w:gridCol w:w="4788"/>
        <w:gridCol w:w="4788"/>
      </w:tblGrid>
      <w:tr w:rsidR="00E75512" w:rsidTr="00236A5F">
        <w:trPr>
          <w:trHeight w:val="70"/>
        </w:trPr>
        <w:tc>
          <w:tcPr>
            <w:tcW w:w="4788" w:type="dxa"/>
          </w:tcPr>
          <w:p w:rsidR="00E75512" w:rsidRPr="00236A5F" w:rsidRDefault="00E75512" w:rsidP="00BF1F00">
            <w:pPr>
              <w:rPr>
                <w:b/>
                <w:sz w:val="24"/>
                <w:szCs w:val="24"/>
              </w:rPr>
            </w:pPr>
            <w:r w:rsidRPr="00236A5F">
              <w:rPr>
                <w:b/>
                <w:sz w:val="24"/>
                <w:szCs w:val="24"/>
              </w:rPr>
              <w:t>SCORE</w:t>
            </w:r>
          </w:p>
        </w:tc>
        <w:tc>
          <w:tcPr>
            <w:tcW w:w="4788" w:type="dxa"/>
          </w:tcPr>
          <w:p w:rsidR="00E75512" w:rsidRPr="00236A5F" w:rsidRDefault="00E75512" w:rsidP="00BF1F00">
            <w:pPr>
              <w:rPr>
                <w:b/>
                <w:sz w:val="24"/>
                <w:szCs w:val="24"/>
              </w:rPr>
            </w:pPr>
            <w:r w:rsidRPr="00236A5F">
              <w:rPr>
                <w:b/>
                <w:sz w:val="24"/>
                <w:szCs w:val="24"/>
              </w:rPr>
              <w:t xml:space="preserve">DEFINITION </w:t>
            </w:r>
          </w:p>
        </w:tc>
      </w:tr>
      <w:tr w:rsidR="00E75512" w:rsidTr="00E75512">
        <w:tc>
          <w:tcPr>
            <w:tcW w:w="4788" w:type="dxa"/>
          </w:tcPr>
          <w:p w:rsidR="00E75512" w:rsidRDefault="00C364CA" w:rsidP="00BF1F00">
            <w:pPr>
              <w:rPr>
                <w:sz w:val="24"/>
                <w:szCs w:val="24"/>
              </w:rPr>
            </w:pPr>
            <w:r>
              <w:rPr>
                <w:sz w:val="24"/>
                <w:szCs w:val="24"/>
              </w:rPr>
              <w:t>5-10</w:t>
            </w:r>
          </w:p>
        </w:tc>
        <w:tc>
          <w:tcPr>
            <w:tcW w:w="4788" w:type="dxa"/>
          </w:tcPr>
          <w:p w:rsidR="00E75512" w:rsidRDefault="00DE66E9" w:rsidP="00BF1F00">
            <w:pPr>
              <w:rPr>
                <w:sz w:val="24"/>
                <w:szCs w:val="24"/>
              </w:rPr>
            </w:pPr>
            <w:r>
              <w:rPr>
                <w:sz w:val="24"/>
                <w:szCs w:val="24"/>
              </w:rPr>
              <w:t xml:space="preserve">Applicant entity promotes visibility and public awareness for clean fuel vehicle and/or refueling/recharging technologies in their viability plan.  </w:t>
            </w:r>
            <w:r w:rsidR="00E75512">
              <w:rPr>
                <w:sz w:val="24"/>
                <w:szCs w:val="24"/>
              </w:rPr>
              <w:t>Applicant entity pro</w:t>
            </w:r>
            <w:r>
              <w:rPr>
                <w:sz w:val="24"/>
                <w:szCs w:val="24"/>
              </w:rPr>
              <w:t>motes refueling/recharging station to general public and clear</w:t>
            </w:r>
            <w:r w:rsidR="00782CB3">
              <w:rPr>
                <w:sz w:val="24"/>
                <w:szCs w:val="24"/>
              </w:rPr>
              <w:t xml:space="preserve">ly identifies vehicles running </w:t>
            </w:r>
            <w:r>
              <w:rPr>
                <w:sz w:val="24"/>
                <w:szCs w:val="24"/>
              </w:rPr>
              <w:t xml:space="preserve">on alternative fuels through signage. </w:t>
            </w:r>
          </w:p>
        </w:tc>
      </w:tr>
      <w:tr w:rsidR="00E75512" w:rsidTr="00E75512">
        <w:tc>
          <w:tcPr>
            <w:tcW w:w="4788" w:type="dxa"/>
          </w:tcPr>
          <w:p w:rsidR="00E75512" w:rsidRDefault="00E75512" w:rsidP="00BF1F00">
            <w:pPr>
              <w:rPr>
                <w:sz w:val="24"/>
                <w:szCs w:val="24"/>
              </w:rPr>
            </w:pPr>
            <w:r>
              <w:rPr>
                <w:sz w:val="24"/>
                <w:szCs w:val="24"/>
              </w:rPr>
              <w:t>4-1</w:t>
            </w:r>
          </w:p>
        </w:tc>
        <w:tc>
          <w:tcPr>
            <w:tcW w:w="4788" w:type="dxa"/>
          </w:tcPr>
          <w:p w:rsidR="00E75512" w:rsidRDefault="00DE66E9" w:rsidP="00BF1F00">
            <w:pPr>
              <w:rPr>
                <w:sz w:val="24"/>
                <w:szCs w:val="24"/>
              </w:rPr>
            </w:pPr>
            <w:r>
              <w:rPr>
                <w:sz w:val="24"/>
                <w:szCs w:val="24"/>
              </w:rPr>
              <w:t xml:space="preserve">Applicant entity promotes </w:t>
            </w:r>
            <w:r>
              <w:rPr>
                <w:sz w:val="24"/>
                <w:szCs w:val="24"/>
              </w:rPr>
              <w:lastRenderedPageBreak/>
              <w:t>refueling/recharging station to general public and clearly identifies vehicles running alternative fuels through signage</w:t>
            </w:r>
            <w:r w:rsidR="0033237B">
              <w:rPr>
                <w:sz w:val="24"/>
                <w:szCs w:val="24"/>
              </w:rPr>
              <w:t>.</w:t>
            </w:r>
          </w:p>
        </w:tc>
      </w:tr>
      <w:tr w:rsidR="00E75512" w:rsidTr="00E75512">
        <w:tc>
          <w:tcPr>
            <w:tcW w:w="4788" w:type="dxa"/>
          </w:tcPr>
          <w:p w:rsidR="00E75512" w:rsidRDefault="00E75512" w:rsidP="00BF1F00">
            <w:pPr>
              <w:rPr>
                <w:sz w:val="24"/>
                <w:szCs w:val="24"/>
              </w:rPr>
            </w:pPr>
            <w:r>
              <w:rPr>
                <w:sz w:val="24"/>
                <w:szCs w:val="24"/>
              </w:rPr>
              <w:lastRenderedPageBreak/>
              <w:t>0</w:t>
            </w:r>
          </w:p>
        </w:tc>
        <w:tc>
          <w:tcPr>
            <w:tcW w:w="4788" w:type="dxa"/>
          </w:tcPr>
          <w:p w:rsidR="00E75512" w:rsidRDefault="004B35A1" w:rsidP="00BF1F00">
            <w:pPr>
              <w:rPr>
                <w:sz w:val="24"/>
                <w:szCs w:val="24"/>
              </w:rPr>
            </w:pPr>
            <w:r>
              <w:rPr>
                <w:sz w:val="24"/>
                <w:szCs w:val="24"/>
              </w:rPr>
              <w:t xml:space="preserve">Applicant entity offers </w:t>
            </w:r>
            <w:r w:rsidR="00DE66E9">
              <w:rPr>
                <w:sz w:val="24"/>
                <w:szCs w:val="24"/>
              </w:rPr>
              <w:t>no visibility or public awareness for clean fuel vehicle and/or refueling/recharging technologies</w:t>
            </w:r>
            <w:r w:rsidR="0033237B">
              <w:rPr>
                <w:sz w:val="24"/>
                <w:szCs w:val="24"/>
              </w:rPr>
              <w:t>.</w:t>
            </w:r>
          </w:p>
        </w:tc>
      </w:tr>
    </w:tbl>
    <w:p w:rsidR="00E75512" w:rsidRDefault="00E75512" w:rsidP="00BF1F00">
      <w:pPr>
        <w:spacing w:line="240" w:lineRule="auto"/>
        <w:rPr>
          <w:sz w:val="24"/>
          <w:szCs w:val="24"/>
        </w:rPr>
      </w:pPr>
    </w:p>
    <w:p w:rsidR="000865B4" w:rsidRDefault="000865B4" w:rsidP="00BF1F00">
      <w:pPr>
        <w:pStyle w:val="ListParagraph"/>
        <w:numPr>
          <w:ilvl w:val="0"/>
          <w:numId w:val="11"/>
        </w:numPr>
        <w:spacing w:line="240" w:lineRule="auto"/>
        <w:rPr>
          <w:b/>
          <w:sz w:val="24"/>
          <w:szCs w:val="24"/>
        </w:rPr>
      </w:pPr>
      <w:r w:rsidRPr="000865B4">
        <w:rPr>
          <w:b/>
          <w:sz w:val="24"/>
          <w:szCs w:val="24"/>
        </w:rPr>
        <w:t>Level of Matching Funds</w:t>
      </w:r>
      <w:r w:rsidR="004B35A1">
        <w:rPr>
          <w:b/>
          <w:sz w:val="24"/>
          <w:szCs w:val="24"/>
        </w:rPr>
        <w:t xml:space="preserve">  (Maximum Points 5)</w:t>
      </w:r>
    </w:p>
    <w:p w:rsidR="0033237B" w:rsidRPr="0033237B" w:rsidRDefault="0033237B" w:rsidP="00BF1F00">
      <w:pPr>
        <w:spacing w:line="240" w:lineRule="auto"/>
        <w:rPr>
          <w:sz w:val="24"/>
          <w:szCs w:val="24"/>
        </w:rPr>
      </w:pPr>
      <w:r w:rsidRPr="0033237B">
        <w:rPr>
          <w:sz w:val="24"/>
          <w:szCs w:val="24"/>
        </w:rPr>
        <w:t>Points will be given</w:t>
      </w:r>
      <w:r>
        <w:rPr>
          <w:sz w:val="24"/>
          <w:szCs w:val="24"/>
        </w:rPr>
        <w:t xml:space="preserve"> for the required funding match. Additional points will be given to applicants that provide a higher level match. </w:t>
      </w:r>
    </w:p>
    <w:tbl>
      <w:tblPr>
        <w:tblStyle w:val="TableGrid"/>
        <w:tblW w:w="0" w:type="auto"/>
        <w:tblLook w:val="04A0"/>
      </w:tblPr>
      <w:tblGrid>
        <w:gridCol w:w="4788"/>
        <w:gridCol w:w="4788"/>
      </w:tblGrid>
      <w:tr w:rsidR="000865B4" w:rsidTr="000865B4">
        <w:tc>
          <w:tcPr>
            <w:tcW w:w="4788" w:type="dxa"/>
          </w:tcPr>
          <w:p w:rsidR="000865B4" w:rsidRPr="00236A5F" w:rsidRDefault="000865B4" w:rsidP="00236A5F">
            <w:pPr>
              <w:jc w:val="center"/>
              <w:rPr>
                <w:b/>
                <w:sz w:val="24"/>
                <w:szCs w:val="24"/>
              </w:rPr>
            </w:pPr>
            <w:r w:rsidRPr="00236A5F">
              <w:rPr>
                <w:b/>
                <w:sz w:val="24"/>
                <w:szCs w:val="24"/>
              </w:rPr>
              <w:t>SCORE</w:t>
            </w:r>
          </w:p>
        </w:tc>
        <w:tc>
          <w:tcPr>
            <w:tcW w:w="4788" w:type="dxa"/>
          </w:tcPr>
          <w:p w:rsidR="000865B4" w:rsidRPr="00236A5F" w:rsidRDefault="0033237B" w:rsidP="00236A5F">
            <w:pPr>
              <w:jc w:val="center"/>
              <w:rPr>
                <w:b/>
                <w:sz w:val="24"/>
                <w:szCs w:val="24"/>
              </w:rPr>
            </w:pPr>
            <w:r w:rsidRPr="00236A5F">
              <w:rPr>
                <w:b/>
                <w:sz w:val="24"/>
                <w:szCs w:val="24"/>
              </w:rPr>
              <w:t>PERCENT of</w:t>
            </w:r>
            <w:r w:rsidR="002C6553" w:rsidRPr="00236A5F">
              <w:rPr>
                <w:b/>
                <w:sz w:val="24"/>
                <w:szCs w:val="24"/>
              </w:rPr>
              <w:t xml:space="preserve"> MATCH</w:t>
            </w:r>
          </w:p>
        </w:tc>
      </w:tr>
      <w:tr w:rsidR="000865B4" w:rsidTr="000865B4">
        <w:tc>
          <w:tcPr>
            <w:tcW w:w="4788" w:type="dxa"/>
          </w:tcPr>
          <w:p w:rsidR="000865B4" w:rsidRDefault="004B35A1" w:rsidP="00236A5F">
            <w:pPr>
              <w:jc w:val="center"/>
              <w:rPr>
                <w:sz w:val="24"/>
                <w:szCs w:val="24"/>
              </w:rPr>
            </w:pPr>
            <w:r>
              <w:rPr>
                <w:sz w:val="24"/>
                <w:szCs w:val="24"/>
              </w:rPr>
              <w:t>5</w:t>
            </w:r>
          </w:p>
        </w:tc>
        <w:tc>
          <w:tcPr>
            <w:tcW w:w="4788" w:type="dxa"/>
          </w:tcPr>
          <w:p w:rsidR="000865B4" w:rsidRDefault="002C6553" w:rsidP="00236A5F">
            <w:pPr>
              <w:jc w:val="center"/>
              <w:rPr>
                <w:sz w:val="24"/>
                <w:szCs w:val="24"/>
              </w:rPr>
            </w:pPr>
            <w:r>
              <w:rPr>
                <w:sz w:val="24"/>
                <w:szCs w:val="24"/>
              </w:rPr>
              <w:t>41% plus</w:t>
            </w:r>
          </w:p>
        </w:tc>
      </w:tr>
      <w:tr w:rsidR="000865B4" w:rsidTr="000865B4">
        <w:tc>
          <w:tcPr>
            <w:tcW w:w="4788" w:type="dxa"/>
          </w:tcPr>
          <w:p w:rsidR="000865B4" w:rsidRDefault="004B35A1" w:rsidP="00236A5F">
            <w:pPr>
              <w:jc w:val="center"/>
              <w:rPr>
                <w:sz w:val="24"/>
                <w:szCs w:val="24"/>
              </w:rPr>
            </w:pPr>
            <w:r>
              <w:rPr>
                <w:sz w:val="24"/>
                <w:szCs w:val="24"/>
              </w:rPr>
              <w:t>4</w:t>
            </w:r>
          </w:p>
        </w:tc>
        <w:tc>
          <w:tcPr>
            <w:tcW w:w="4788" w:type="dxa"/>
          </w:tcPr>
          <w:p w:rsidR="000865B4" w:rsidRDefault="002C6553" w:rsidP="00236A5F">
            <w:pPr>
              <w:jc w:val="center"/>
              <w:rPr>
                <w:sz w:val="24"/>
                <w:szCs w:val="24"/>
              </w:rPr>
            </w:pPr>
            <w:r>
              <w:rPr>
                <w:sz w:val="24"/>
                <w:szCs w:val="24"/>
              </w:rPr>
              <w:t>36% - 40%</w:t>
            </w:r>
          </w:p>
        </w:tc>
      </w:tr>
      <w:tr w:rsidR="000865B4" w:rsidTr="000865B4">
        <w:tc>
          <w:tcPr>
            <w:tcW w:w="4788" w:type="dxa"/>
          </w:tcPr>
          <w:p w:rsidR="000865B4" w:rsidRDefault="004B35A1" w:rsidP="00236A5F">
            <w:pPr>
              <w:jc w:val="center"/>
              <w:rPr>
                <w:sz w:val="24"/>
                <w:szCs w:val="24"/>
              </w:rPr>
            </w:pPr>
            <w:r>
              <w:rPr>
                <w:sz w:val="24"/>
                <w:szCs w:val="24"/>
              </w:rPr>
              <w:t>3</w:t>
            </w:r>
          </w:p>
        </w:tc>
        <w:tc>
          <w:tcPr>
            <w:tcW w:w="4788" w:type="dxa"/>
          </w:tcPr>
          <w:p w:rsidR="000865B4" w:rsidRDefault="002C6553" w:rsidP="00236A5F">
            <w:pPr>
              <w:jc w:val="center"/>
              <w:rPr>
                <w:sz w:val="24"/>
                <w:szCs w:val="24"/>
              </w:rPr>
            </w:pPr>
            <w:r>
              <w:rPr>
                <w:sz w:val="24"/>
                <w:szCs w:val="24"/>
              </w:rPr>
              <w:t>31% - 35%</w:t>
            </w:r>
          </w:p>
        </w:tc>
      </w:tr>
      <w:tr w:rsidR="000865B4" w:rsidTr="000865B4">
        <w:tc>
          <w:tcPr>
            <w:tcW w:w="4788" w:type="dxa"/>
          </w:tcPr>
          <w:p w:rsidR="000865B4" w:rsidRDefault="004B35A1" w:rsidP="00236A5F">
            <w:pPr>
              <w:jc w:val="center"/>
              <w:rPr>
                <w:sz w:val="24"/>
                <w:szCs w:val="24"/>
              </w:rPr>
            </w:pPr>
            <w:r>
              <w:rPr>
                <w:sz w:val="24"/>
                <w:szCs w:val="24"/>
              </w:rPr>
              <w:t>2</w:t>
            </w:r>
          </w:p>
        </w:tc>
        <w:tc>
          <w:tcPr>
            <w:tcW w:w="4788" w:type="dxa"/>
          </w:tcPr>
          <w:p w:rsidR="000865B4" w:rsidRDefault="002C6553" w:rsidP="00236A5F">
            <w:pPr>
              <w:jc w:val="center"/>
              <w:rPr>
                <w:sz w:val="24"/>
                <w:szCs w:val="24"/>
              </w:rPr>
            </w:pPr>
            <w:r>
              <w:rPr>
                <w:sz w:val="24"/>
                <w:szCs w:val="24"/>
              </w:rPr>
              <w:t>26% - 30%</w:t>
            </w:r>
          </w:p>
        </w:tc>
      </w:tr>
      <w:tr w:rsidR="000865B4" w:rsidTr="000865B4">
        <w:tc>
          <w:tcPr>
            <w:tcW w:w="4788" w:type="dxa"/>
          </w:tcPr>
          <w:p w:rsidR="000865B4" w:rsidRDefault="004B35A1" w:rsidP="00236A5F">
            <w:pPr>
              <w:jc w:val="center"/>
              <w:rPr>
                <w:sz w:val="24"/>
                <w:szCs w:val="24"/>
              </w:rPr>
            </w:pPr>
            <w:r>
              <w:rPr>
                <w:sz w:val="24"/>
                <w:szCs w:val="24"/>
              </w:rPr>
              <w:t>1</w:t>
            </w:r>
          </w:p>
        </w:tc>
        <w:tc>
          <w:tcPr>
            <w:tcW w:w="4788" w:type="dxa"/>
          </w:tcPr>
          <w:p w:rsidR="000865B4" w:rsidRDefault="002C6553" w:rsidP="00236A5F">
            <w:pPr>
              <w:jc w:val="center"/>
              <w:rPr>
                <w:sz w:val="24"/>
                <w:szCs w:val="24"/>
              </w:rPr>
            </w:pPr>
            <w:r>
              <w:rPr>
                <w:sz w:val="24"/>
                <w:szCs w:val="24"/>
              </w:rPr>
              <w:t>21% - 25%</w:t>
            </w:r>
          </w:p>
        </w:tc>
      </w:tr>
      <w:tr w:rsidR="000865B4" w:rsidTr="000865B4">
        <w:tc>
          <w:tcPr>
            <w:tcW w:w="4788" w:type="dxa"/>
          </w:tcPr>
          <w:p w:rsidR="000865B4" w:rsidRDefault="004B35A1" w:rsidP="00236A5F">
            <w:pPr>
              <w:jc w:val="center"/>
              <w:rPr>
                <w:sz w:val="24"/>
                <w:szCs w:val="24"/>
              </w:rPr>
            </w:pPr>
            <w:r>
              <w:rPr>
                <w:sz w:val="24"/>
                <w:szCs w:val="24"/>
              </w:rPr>
              <w:t>0</w:t>
            </w:r>
          </w:p>
        </w:tc>
        <w:tc>
          <w:tcPr>
            <w:tcW w:w="4788" w:type="dxa"/>
          </w:tcPr>
          <w:p w:rsidR="000865B4" w:rsidRDefault="002C6553" w:rsidP="00236A5F">
            <w:pPr>
              <w:jc w:val="center"/>
              <w:rPr>
                <w:sz w:val="24"/>
                <w:szCs w:val="24"/>
              </w:rPr>
            </w:pPr>
            <w:r>
              <w:rPr>
                <w:sz w:val="24"/>
                <w:szCs w:val="24"/>
              </w:rPr>
              <w:t>20%</w:t>
            </w:r>
          </w:p>
        </w:tc>
      </w:tr>
    </w:tbl>
    <w:p w:rsidR="000865B4" w:rsidRPr="000865B4" w:rsidRDefault="000865B4" w:rsidP="00BF1F00">
      <w:pPr>
        <w:spacing w:line="240" w:lineRule="auto"/>
        <w:rPr>
          <w:sz w:val="24"/>
          <w:szCs w:val="24"/>
        </w:rPr>
      </w:pPr>
    </w:p>
    <w:p w:rsidR="0018217E" w:rsidRPr="009F0818" w:rsidRDefault="0033237B" w:rsidP="00BF1F00">
      <w:pPr>
        <w:pStyle w:val="ListParagraph"/>
        <w:numPr>
          <w:ilvl w:val="0"/>
          <w:numId w:val="11"/>
        </w:numPr>
        <w:spacing w:line="240" w:lineRule="auto"/>
        <w:rPr>
          <w:b/>
          <w:sz w:val="24"/>
          <w:szCs w:val="24"/>
        </w:rPr>
      </w:pPr>
      <w:r w:rsidRPr="009F0818">
        <w:rPr>
          <w:b/>
          <w:sz w:val="24"/>
          <w:szCs w:val="24"/>
        </w:rPr>
        <w:t xml:space="preserve">Percent of Fleet Currently using Alternative Fuels </w:t>
      </w:r>
      <w:r w:rsidR="004E13EE">
        <w:rPr>
          <w:b/>
          <w:sz w:val="24"/>
          <w:szCs w:val="24"/>
        </w:rPr>
        <w:t xml:space="preserve"> (Maximum Points 6)</w:t>
      </w:r>
    </w:p>
    <w:p w:rsidR="0033237B" w:rsidRDefault="0033237B" w:rsidP="00BF1F00">
      <w:pPr>
        <w:spacing w:line="240" w:lineRule="auto"/>
        <w:rPr>
          <w:sz w:val="24"/>
          <w:szCs w:val="24"/>
        </w:rPr>
      </w:pPr>
      <w:r>
        <w:rPr>
          <w:sz w:val="24"/>
          <w:szCs w:val="24"/>
        </w:rPr>
        <w:t xml:space="preserve">Points will be given to applications entities based on current percentage of their fleet currently using alternative fuels. </w:t>
      </w:r>
    </w:p>
    <w:tbl>
      <w:tblPr>
        <w:tblStyle w:val="TableGrid"/>
        <w:tblW w:w="0" w:type="auto"/>
        <w:tblLook w:val="04A0"/>
      </w:tblPr>
      <w:tblGrid>
        <w:gridCol w:w="4788"/>
        <w:gridCol w:w="4788"/>
      </w:tblGrid>
      <w:tr w:rsidR="0033237B" w:rsidTr="0033237B">
        <w:tc>
          <w:tcPr>
            <w:tcW w:w="4788" w:type="dxa"/>
          </w:tcPr>
          <w:p w:rsidR="0033237B" w:rsidRPr="00236A5F" w:rsidRDefault="0033237B" w:rsidP="00236A5F">
            <w:pPr>
              <w:jc w:val="center"/>
              <w:rPr>
                <w:b/>
                <w:sz w:val="24"/>
                <w:szCs w:val="24"/>
              </w:rPr>
            </w:pPr>
            <w:r w:rsidRPr="00236A5F">
              <w:rPr>
                <w:b/>
                <w:sz w:val="24"/>
                <w:szCs w:val="24"/>
              </w:rPr>
              <w:t>SCORE</w:t>
            </w:r>
          </w:p>
        </w:tc>
        <w:tc>
          <w:tcPr>
            <w:tcW w:w="4788" w:type="dxa"/>
          </w:tcPr>
          <w:p w:rsidR="0033237B" w:rsidRPr="00236A5F" w:rsidRDefault="0033237B" w:rsidP="00236A5F">
            <w:pPr>
              <w:jc w:val="center"/>
              <w:rPr>
                <w:b/>
                <w:sz w:val="24"/>
                <w:szCs w:val="24"/>
              </w:rPr>
            </w:pPr>
            <w:r w:rsidRPr="00236A5F">
              <w:rPr>
                <w:b/>
                <w:sz w:val="24"/>
                <w:szCs w:val="24"/>
              </w:rPr>
              <w:t>PERCENT of FLEET ON ALTERNATIVE FUELS</w:t>
            </w:r>
          </w:p>
        </w:tc>
      </w:tr>
      <w:tr w:rsidR="0033237B" w:rsidTr="0033237B">
        <w:tc>
          <w:tcPr>
            <w:tcW w:w="4788" w:type="dxa"/>
          </w:tcPr>
          <w:p w:rsidR="0033237B" w:rsidRDefault="0033237B" w:rsidP="00236A5F">
            <w:pPr>
              <w:jc w:val="center"/>
              <w:rPr>
                <w:sz w:val="24"/>
                <w:szCs w:val="24"/>
              </w:rPr>
            </w:pPr>
            <w:r>
              <w:rPr>
                <w:sz w:val="24"/>
                <w:szCs w:val="24"/>
              </w:rPr>
              <w:t>6</w:t>
            </w:r>
          </w:p>
        </w:tc>
        <w:tc>
          <w:tcPr>
            <w:tcW w:w="4788" w:type="dxa"/>
          </w:tcPr>
          <w:p w:rsidR="0033237B" w:rsidRDefault="0033237B" w:rsidP="00236A5F">
            <w:pPr>
              <w:jc w:val="center"/>
              <w:rPr>
                <w:sz w:val="24"/>
                <w:szCs w:val="24"/>
              </w:rPr>
            </w:pPr>
            <w:r>
              <w:rPr>
                <w:rFonts w:cstheme="minorHAnsi"/>
                <w:sz w:val="24"/>
                <w:szCs w:val="24"/>
              </w:rPr>
              <w:t>&gt;</w:t>
            </w:r>
            <w:r>
              <w:rPr>
                <w:sz w:val="24"/>
                <w:szCs w:val="24"/>
              </w:rPr>
              <w:t xml:space="preserve"> </w:t>
            </w:r>
            <w:r w:rsidR="009F0818">
              <w:rPr>
                <w:sz w:val="24"/>
                <w:szCs w:val="24"/>
              </w:rPr>
              <w:t>51</w:t>
            </w:r>
            <w:r>
              <w:rPr>
                <w:sz w:val="24"/>
                <w:szCs w:val="24"/>
              </w:rPr>
              <w:t>%</w:t>
            </w:r>
          </w:p>
        </w:tc>
      </w:tr>
      <w:tr w:rsidR="0033237B" w:rsidTr="0033237B">
        <w:tc>
          <w:tcPr>
            <w:tcW w:w="4788" w:type="dxa"/>
          </w:tcPr>
          <w:p w:rsidR="0033237B" w:rsidRDefault="0033237B" w:rsidP="00236A5F">
            <w:pPr>
              <w:jc w:val="center"/>
              <w:rPr>
                <w:sz w:val="24"/>
                <w:szCs w:val="24"/>
              </w:rPr>
            </w:pPr>
            <w:r>
              <w:rPr>
                <w:sz w:val="24"/>
                <w:szCs w:val="24"/>
              </w:rPr>
              <w:t>5</w:t>
            </w:r>
          </w:p>
        </w:tc>
        <w:tc>
          <w:tcPr>
            <w:tcW w:w="4788" w:type="dxa"/>
          </w:tcPr>
          <w:p w:rsidR="0033237B" w:rsidRDefault="009F0818" w:rsidP="00236A5F">
            <w:pPr>
              <w:jc w:val="center"/>
              <w:rPr>
                <w:sz w:val="24"/>
                <w:szCs w:val="24"/>
              </w:rPr>
            </w:pPr>
            <w:r>
              <w:rPr>
                <w:sz w:val="24"/>
                <w:szCs w:val="24"/>
              </w:rPr>
              <w:t>50% - 4</w:t>
            </w:r>
            <w:r w:rsidR="0033237B">
              <w:rPr>
                <w:sz w:val="24"/>
                <w:szCs w:val="24"/>
              </w:rPr>
              <w:t>0%</w:t>
            </w:r>
          </w:p>
        </w:tc>
      </w:tr>
      <w:tr w:rsidR="0033237B" w:rsidTr="0033237B">
        <w:tc>
          <w:tcPr>
            <w:tcW w:w="4788" w:type="dxa"/>
          </w:tcPr>
          <w:p w:rsidR="0033237B" w:rsidRDefault="0033237B" w:rsidP="00236A5F">
            <w:pPr>
              <w:jc w:val="center"/>
              <w:rPr>
                <w:sz w:val="24"/>
                <w:szCs w:val="24"/>
              </w:rPr>
            </w:pPr>
            <w:r>
              <w:rPr>
                <w:sz w:val="24"/>
                <w:szCs w:val="24"/>
              </w:rPr>
              <w:t>4</w:t>
            </w:r>
          </w:p>
        </w:tc>
        <w:tc>
          <w:tcPr>
            <w:tcW w:w="4788" w:type="dxa"/>
          </w:tcPr>
          <w:p w:rsidR="0033237B" w:rsidRDefault="009F0818" w:rsidP="00236A5F">
            <w:pPr>
              <w:jc w:val="center"/>
              <w:rPr>
                <w:sz w:val="24"/>
                <w:szCs w:val="24"/>
              </w:rPr>
            </w:pPr>
            <w:r>
              <w:rPr>
                <w:sz w:val="24"/>
                <w:szCs w:val="24"/>
              </w:rPr>
              <w:t>3</w:t>
            </w:r>
            <w:r w:rsidR="0033237B">
              <w:rPr>
                <w:sz w:val="24"/>
                <w:szCs w:val="24"/>
              </w:rPr>
              <w:t xml:space="preserve">9% - </w:t>
            </w:r>
            <w:r>
              <w:rPr>
                <w:sz w:val="24"/>
                <w:szCs w:val="24"/>
              </w:rPr>
              <w:t>3</w:t>
            </w:r>
            <w:r w:rsidR="0033237B">
              <w:rPr>
                <w:sz w:val="24"/>
                <w:szCs w:val="24"/>
              </w:rPr>
              <w:t>0%</w:t>
            </w:r>
          </w:p>
        </w:tc>
      </w:tr>
      <w:tr w:rsidR="0033237B" w:rsidTr="0033237B">
        <w:tc>
          <w:tcPr>
            <w:tcW w:w="4788" w:type="dxa"/>
          </w:tcPr>
          <w:p w:rsidR="0033237B" w:rsidRDefault="0033237B" w:rsidP="00236A5F">
            <w:pPr>
              <w:jc w:val="center"/>
              <w:rPr>
                <w:sz w:val="24"/>
                <w:szCs w:val="24"/>
              </w:rPr>
            </w:pPr>
            <w:r>
              <w:rPr>
                <w:sz w:val="24"/>
                <w:szCs w:val="24"/>
              </w:rPr>
              <w:t>3</w:t>
            </w:r>
          </w:p>
        </w:tc>
        <w:tc>
          <w:tcPr>
            <w:tcW w:w="4788" w:type="dxa"/>
          </w:tcPr>
          <w:p w:rsidR="0033237B" w:rsidRDefault="009F0818" w:rsidP="00236A5F">
            <w:pPr>
              <w:jc w:val="center"/>
              <w:rPr>
                <w:sz w:val="24"/>
                <w:szCs w:val="24"/>
              </w:rPr>
            </w:pPr>
            <w:r>
              <w:rPr>
                <w:sz w:val="24"/>
                <w:szCs w:val="24"/>
              </w:rPr>
              <w:t>29% - 2</w:t>
            </w:r>
            <w:r w:rsidR="0033237B">
              <w:rPr>
                <w:sz w:val="24"/>
                <w:szCs w:val="24"/>
              </w:rPr>
              <w:t>0%</w:t>
            </w:r>
          </w:p>
        </w:tc>
      </w:tr>
      <w:tr w:rsidR="0033237B" w:rsidTr="0033237B">
        <w:tc>
          <w:tcPr>
            <w:tcW w:w="4788" w:type="dxa"/>
          </w:tcPr>
          <w:p w:rsidR="0033237B" w:rsidRDefault="0033237B" w:rsidP="00236A5F">
            <w:pPr>
              <w:jc w:val="center"/>
              <w:rPr>
                <w:sz w:val="24"/>
                <w:szCs w:val="24"/>
              </w:rPr>
            </w:pPr>
            <w:r>
              <w:rPr>
                <w:sz w:val="24"/>
                <w:szCs w:val="24"/>
              </w:rPr>
              <w:t>2</w:t>
            </w:r>
          </w:p>
        </w:tc>
        <w:tc>
          <w:tcPr>
            <w:tcW w:w="4788" w:type="dxa"/>
          </w:tcPr>
          <w:p w:rsidR="0033237B" w:rsidRDefault="009F0818" w:rsidP="00236A5F">
            <w:pPr>
              <w:jc w:val="center"/>
              <w:rPr>
                <w:sz w:val="24"/>
                <w:szCs w:val="24"/>
              </w:rPr>
            </w:pPr>
            <w:r>
              <w:rPr>
                <w:sz w:val="24"/>
                <w:szCs w:val="24"/>
              </w:rPr>
              <w:t>1</w:t>
            </w:r>
            <w:r w:rsidR="0033237B">
              <w:rPr>
                <w:sz w:val="24"/>
                <w:szCs w:val="24"/>
              </w:rPr>
              <w:t xml:space="preserve">9% - </w:t>
            </w:r>
            <w:r>
              <w:rPr>
                <w:sz w:val="24"/>
                <w:szCs w:val="24"/>
              </w:rPr>
              <w:t>10%</w:t>
            </w:r>
          </w:p>
        </w:tc>
      </w:tr>
      <w:tr w:rsidR="0033237B" w:rsidTr="0033237B">
        <w:tc>
          <w:tcPr>
            <w:tcW w:w="4788" w:type="dxa"/>
          </w:tcPr>
          <w:p w:rsidR="0033237B" w:rsidRDefault="0033237B" w:rsidP="00236A5F">
            <w:pPr>
              <w:jc w:val="center"/>
              <w:rPr>
                <w:sz w:val="24"/>
                <w:szCs w:val="24"/>
              </w:rPr>
            </w:pPr>
            <w:r>
              <w:rPr>
                <w:sz w:val="24"/>
                <w:szCs w:val="24"/>
              </w:rPr>
              <w:t>1</w:t>
            </w:r>
          </w:p>
        </w:tc>
        <w:tc>
          <w:tcPr>
            <w:tcW w:w="4788" w:type="dxa"/>
          </w:tcPr>
          <w:p w:rsidR="0033237B" w:rsidRDefault="009F0818" w:rsidP="00236A5F">
            <w:pPr>
              <w:jc w:val="center"/>
              <w:rPr>
                <w:sz w:val="24"/>
                <w:szCs w:val="24"/>
              </w:rPr>
            </w:pPr>
            <w:r>
              <w:rPr>
                <w:sz w:val="24"/>
                <w:szCs w:val="24"/>
              </w:rPr>
              <w:t>9% - 1%</w:t>
            </w:r>
          </w:p>
        </w:tc>
      </w:tr>
    </w:tbl>
    <w:p w:rsidR="0033237B" w:rsidRPr="0033237B" w:rsidRDefault="0033237B" w:rsidP="0033237B">
      <w:pPr>
        <w:rPr>
          <w:sz w:val="24"/>
          <w:szCs w:val="24"/>
        </w:rPr>
      </w:pPr>
    </w:p>
    <w:p w:rsidR="0033237B" w:rsidRPr="0033237B" w:rsidRDefault="0033237B" w:rsidP="0033237B">
      <w:pPr>
        <w:rPr>
          <w:sz w:val="24"/>
          <w:szCs w:val="24"/>
        </w:rPr>
      </w:pPr>
    </w:p>
    <w:sectPr w:rsidR="0033237B" w:rsidRPr="0033237B" w:rsidSect="009D70D3">
      <w:footerReference w:type="default" r:id="rId12"/>
      <w:pgSz w:w="12240" w:h="15840"/>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5A1" w:rsidRDefault="004B35A1" w:rsidP="009D70D3">
      <w:pPr>
        <w:spacing w:after="0" w:line="240" w:lineRule="auto"/>
      </w:pPr>
      <w:r>
        <w:separator/>
      </w:r>
    </w:p>
  </w:endnote>
  <w:endnote w:type="continuationSeparator" w:id="0">
    <w:p w:rsidR="004B35A1" w:rsidRDefault="004B35A1" w:rsidP="009D7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597"/>
      <w:docPartObj>
        <w:docPartGallery w:val="Page Numbers (Bottom of Page)"/>
        <w:docPartUnique/>
      </w:docPartObj>
    </w:sdtPr>
    <w:sdtEndPr>
      <w:rPr>
        <w:sz w:val="20"/>
        <w:szCs w:val="20"/>
      </w:rPr>
    </w:sdtEndPr>
    <w:sdtContent>
      <w:sdt>
        <w:sdtPr>
          <w:rPr>
            <w:sz w:val="20"/>
            <w:szCs w:val="20"/>
          </w:rPr>
          <w:id w:val="565050523"/>
          <w:docPartObj>
            <w:docPartGallery w:val="Page Numbers (Top of Page)"/>
            <w:docPartUnique/>
          </w:docPartObj>
        </w:sdtPr>
        <w:sdtContent>
          <w:p w:rsidR="004B35A1" w:rsidRPr="00D06CFC" w:rsidRDefault="004B35A1" w:rsidP="00D06CFC">
            <w:pPr>
              <w:pStyle w:val="Footer"/>
              <w:jc w:val="center"/>
              <w:rPr>
                <w:sz w:val="20"/>
                <w:szCs w:val="20"/>
              </w:rPr>
            </w:pPr>
            <w:r w:rsidRPr="00D06CFC">
              <w:rPr>
                <w:rFonts w:ascii="Calibri" w:hAnsi="Calibri" w:cstheme="minorHAnsi"/>
                <w:sz w:val="20"/>
                <w:szCs w:val="20"/>
              </w:rPr>
              <w:t>Public School District Alternative Fuel Infrastructure Development</w:t>
            </w:r>
            <w:r w:rsidRPr="00D06CFC">
              <w:rPr>
                <w:sz w:val="20"/>
                <w:szCs w:val="20"/>
              </w:rPr>
              <w:t xml:space="preserve">  </w:t>
            </w:r>
          </w:p>
          <w:p w:rsidR="004B35A1" w:rsidRPr="00D06CFC" w:rsidRDefault="004B35A1" w:rsidP="00D06CFC">
            <w:pPr>
              <w:pStyle w:val="Footer"/>
              <w:jc w:val="center"/>
              <w:rPr>
                <w:sz w:val="20"/>
                <w:szCs w:val="20"/>
              </w:rPr>
            </w:pPr>
            <w:r w:rsidRPr="00D06CFC">
              <w:rPr>
                <w:sz w:val="20"/>
                <w:szCs w:val="20"/>
              </w:rPr>
              <w:t xml:space="preserve">Page </w:t>
            </w:r>
            <w:r w:rsidR="00D5166E" w:rsidRPr="00D06CFC">
              <w:rPr>
                <w:b/>
                <w:sz w:val="20"/>
                <w:szCs w:val="20"/>
              </w:rPr>
              <w:fldChar w:fldCharType="begin"/>
            </w:r>
            <w:r w:rsidRPr="00D06CFC">
              <w:rPr>
                <w:b/>
                <w:sz w:val="20"/>
                <w:szCs w:val="20"/>
              </w:rPr>
              <w:instrText xml:space="preserve"> PAGE </w:instrText>
            </w:r>
            <w:r w:rsidR="00D5166E" w:rsidRPr="00D06CFC">
              <w:rPr>
                <w:b/>
                <w:sz w:val="20"/>
                <w:szCs w:val="20"/>
              </w:rPr>
              <w:fldChar w:fldCharType="separate"/>
            </w:r>
            <w:r w:rsidR="000E5D09">
              <w:rPr>
                <w:b/>
                <w:noProof/>
                <w:sz w:val="20"/>
                <w:szCs w:val="20"/>
              </w:rPr>
              <w:t>1</w:t>
            </w:r>
            <w:r w:rsidR="00D5166E" w:rsidRPr="00D06CFC">
              <w:rPr>
                <w:b/>
                <w:sz w:val="20"/>
                <w:szCs w:val="20"/>
              </w:rPr>
              <w:fldChar w:fldCharType="end"/>
            </w:r>
            <w:r w:rsidRPr="00D06CFC">
              <w:rPr>
                <w:sz w:val="20"/>
                <w:szCs w:val="20"/>
              </w:rPr>
              <w:t xml:space="preserve"> of </w:t>
            </w:r>
            <w:r w:rsidR="00D5166E" w:rsidRPr="00D06CFC">
              <w:rPr>
                <w:b/>
                <w:sz w:val="20"/>
                <w:szCs w:val="20"/>
              </w:rPr>
              <w:fldChar w:fldCharType="begin"/>
            </w:r>
            <w:r w:rsidRPr="00D06CFC">
              <w:rPr>
                <w:b/>
                <w:sz w:val="20"/>
                <w:szCs w:val="20"/>
              </w:rPr>
              <w:instrText xml:space="preserve"> NUMPAGES  </w:instrText>
            </w:r>
            <w:r w:rsidR="00D5166E" w:rsidRPr="00D06CFC">
              <w:rPr>
                <w:b/>
                <w:sz w:val="20"/>
                <w:szCs w:val="20"/>
              </w:rPr>
              <w:fldChar w:fldCharType="separate"/>
            </w:r>
            <w:r w:rsidR="000E5D09">
              <w:rPr>
                <w:b/>
                <w:noProof/>
                <w:sz w:val="20"/>
                <w:szCs w:val="20"/>
              </w:rPr>
              <w:t>13</w:t>
            </w:r>
            <w:r w:rsidR="00D5166E" w:rsidRPr="00D06CFC">
              <w:rPr>
                <w:b/>
                <w:sz w:val="20"/>
                <w:szCs w:val="20"/>
              </w:rPr>
              <w:fldChar w:fldCharType="end"/>
            </w:r>
          </w:p>
        </w:sdtContent>
      </w:sdt>
    </w:sdtContent>
  </w:sdt>
  <w:p w:rsidR="004B35A1" w:rsidRDefault="004B35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5A1" w:rsidRDefault="004B35A1" w:rsidP="009D70D3">
      <w:pPr>
        <w:spacing w:after="0" w:line="240" w:lineRule="auto"/>
      </w:pPr>
      <w:r>
        <w:separator/>
      </w:r>
    </w:p>
  </w:footnote>
  <w:footnote w:type="continuationSeparator" w:id="0">
    <w:p w:rsidR="004B35A1" w:rsidRDefault="004B35A1" w:rsidP="009D70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370D"/>
    <w:multiLevelType w:val="hybridMultilevel"/>
    <w:tmpl w:val="9EC4478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D260EF"/>
    <w:multiLevelType w:val="hybridMultilevel"/>
    <w:tmpl w:val="66D8C7E4"/>
    <w:lvl w:ilvl="0" w:tplc="04090007">
      <w:start w:val="1"/>
      <w:numFmt w:val="bullet"/>
      <w:lvlText w:val=""/>
      <w:lvlJc w:val="left"/>
      <w:pPr>
        <w:tabs>
          <w:tab w:val="num" w:pos="1155"/>
        </w:tabs>
        <w:ind w:left="1155" w:hanging="360"/>
      </w:pPr>
      <w:rPr>
        <w:rFonts w:ascii="Symbol" w:hAnsi="Symbol" w:hint="default"/>
      </w:rPr>
    </w:lvl>
    <w:lvl w:ilvl="1" w:tplc="224E8E06">
      <w:start w:val="1"/>
      <w:numFmt w:val="bullet"/>
      <w:lvlText w:val="►"/>
      <w:lvlJc w:val="left"/>
      <w:pPr>
        <w:tabs>
          <w:tab w:val="num" w:pos="1875"/>
        </w:tabs>
        <w:ind w:left="1875" w:hanging="360"/>
      </w:pPr>
      <w:rPr>
        <w:rFonts w:ascii="Courier New" w:hAnsi="Courier New" w:hint="default"/>
        <w:sz w:val="16"/>
      </w:rPr>
    </w:lvl>
    <w:lvl w:ilvl="2" w:tplc="04090005">
      <w:start w:val="1"/>
      <w:numFmt w:val="bullet"/>
      <w:lvlText w:val=""/>
      <w:lvlJc w:val="left"/>
      <w:pPr>
        <w:tabs>
          <w:tab w:val="num" w:pos="2595"/>
        </w:tabs>
        <w:ind w:left="2595" w:hanging="360"/>
      </w:pPr>
      <w:rPr>
        <w:rFonts w:ascii="Wingdings" w:hAnsi="Wingdings" w:hint="default"/>
      </w:rPr>
    </w:lvl>
    <w:lvl w:ilvl="3" w:tplc="04090007">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
    <w:nsid w:val="14FF26B4"/>
    <w:multiLevelType w:val="hybridMultilevel"/>
    <w:tmpl w:val="4670C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6737B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B142CDD"/>
    <w:multiLevelType w:val="hybridMultilevel"/>
    <w:tmpl w:val="59E2B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0E51927"/>
    <w:multiLevelType w:val="hybridMultilevel"/>
    <w:tmpl w:val="68285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A42427"/>
    <w:multiLevelType w:val="hybridMultilevel"/>
    <w:tmpl w:val="60229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3C7F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12B7FC7"/>
    <w:multiLevelType w:val="hybridMultilevel"/>
    <w:tmpl w:val="AFA6F1C2"/>
    <w:lvl w:ilvl="0" w:tplc="B2A2A912">
      <w:start w:val="1"/>
      <w:numFmt w:val="upperLetter"/>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37525A2"/>
    <w:multiLevelType w:val="hybridMultilevel"/>
    <w:tmpl w:val="E626EB84"/>
    <w:lvl w:ilvl="0" w:tplc="04090007">
      <w:start w:val="1"/>
      <w:numFmt w:val="bullet"/>
      <w:lvlText w:val=""/>
      <w:lvlJc w:val="left"/>
      <w:pPr>
        <w:tabs>
          <w:tab w:val="num" w:pos="1155"/>
        </w:tabs>
        <w:ind w:left="1155" w:hanging="360"/>
      </w:pPr>
      <w:rPr>
        <w:rFonts w:ascii="Symbol" w:hAnsi="Symbol" w:hint="default"/>
      </w:rPr>
    </w:lvl>
    <w:lvl w:ilvl="1" w:tplc="04090003">
      <w:start w:val="1"/>
      <w:numFmt w:val="bullet"/>
      <w:lvlText w:val="o"/>
      <w:lvlJc w:val="left"/>
      <w:pPr>
        <w:tabs>
          <w:tab w:val="num" w:pos="1875"/>
        </w:tabs>
        <w:ind w:left="1875" w:hanging="360"/>
      </w:pPr>
      <w:rPr>
        <w:rFonts w:ascii="Courier New" w:hAnsi="Courier New" w:cs="Courier New" w:hint="default"/>
      </w:rPr>
    </w:lvl>
    <w:lvl w:ilvl="2" w:tplc="04090005">
      <w:start w:val="1"/>
      <w:numFmt w:val="bullet"/>
      <w:lvlText w:val=""/>
      <w:lvlJc w:val="left"/>
      <w:pPr>
        <w:tabs>
          <w:tab w:val="num" w:pos="2595"/>
        </w:tabs>
        <w:ind w:left="2595" w:hanging="360"/>
      </w:pPr>
      <w:rPr>
        <w:rFonts w:ascii="Wingdings" w:hAnsi="Wingdings" w:hint="default"/>
      </w:rPr>
    </w:lvl>
    <w:lvl w:ilvl="3" w:tplc="04090007">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0">
    <w:nsid w:val="74DB4027"/>
    <w:multiLevelType w:val="hybridMultilevel"/>
    <w:tmpl w:val="90269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9"/>
  </w:num>
  <w:num w:numId="6">
    <w:abstractNumId w:val="1"/>
  </w:num>
  <w:num w:numId="7">
    <w:abstractNumId w:val="8"/>
  </w:num>
  <w:num w:numId="8">
    <w:abstractNumId w:val="10"/>
  </w:num>
  <w:num w:numId="9">
    <w:abstractNumId w:val="2"/>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075CD"/>
    <w:rsid w:val="0001028C"/>
    <w:rsid w:val="00012ADC"/>
    <w:rsid w:val="000348DC"/>
    <w:rsid w:val="000865B4"/>
    <w:rsid w:val="00090F17"/>
    <w:rsid w:val="000E5D09"/>
    <w:rsid w:val="001277DA"/>
    <w:rsid w:val="001378E8"/>
    <w:rsid w:val="0018217E"/>
    <w:rsid w:val="0020260F"/>
    <w:rsid w:val="00236A5F"/>
    <w:rsid w:val="00246EC4"/>
    <w:rsid w:val="002609C4"/>
    <w:rsid w:val="00270054"/>
    <w:rsid w:val="00274E09"/>
    <w:rsid w:val="002753C0"/>
    <w:rsid w:val="002C6553"/>
    <w:rsid w:val="00300FA5"/>
    <w:rsid w:val="003210AD"/>
    <w:rsid w:val="00321824"/>
    <w:rsid w:val="0033237B"/>
    <w:rsid w:val="003329B7"/>
    <w:rsid w:val="003A3977"/>
    <w:rsid w:val="00402BC2"/>
    <w:rsid w:val="004065E0"/>
    <w:rsid w:val="0046288F"/>
    <w:rsid w:val="00473E23"/>
    <w:rsid w:val="0048676B"/>
    <w:rsid w:val="004B20E8"/>
    <w:rsid w:val="004B35A1"/>
    <w:rsid w:val="004E13EE"/>
    <w:rsid w:val="00503A60"/>
    <w:rsid w:val="005148F7"/>
    <w:rsid w:val="00580CC9"/>
    <w:rsid w:val="00591C84"/>
    <w:rsid w:val="00656222"/>
    <w:rsid w:val="006B7B9E"/>
    <w:rsid w:val="006D18DD"/>
    <w:rsid w:val="00736FCE"/>
    <w:rsid w:val="00782CB3"/>
    <w:rsid w:val="007A5BD5"/>
    <w:rsid w:val="007B0BE0"/>
    <w:rsid w:val="007D75A9"/>
    <w:rsid w:val="00862379"/>
    <w:rsid w:val="00875972"/>
    <w:rsid w:val="00892E1E"/>
    <w:rsid w:val="008937E8"/>
    <w:rsid w:val="008951C4"/>
    <w:rsid w:val="008B07E7"/>
    <w:rsid w:val="008B39D1"/>
    <w:rsid w:val="008C03F8"/>
    <w:rsid w:val="008D58B3"/>
    <w:rsid w:val="008F1E11"/>
    <w:rsid w:val="00905A61"/>
    <w:rsid w:val="009163F9"/>
    <w:rsid w:val="009D70D3"/>
    <w:rsid w:val="009F0818"/>
    <w:rsid w:val="00A14FE9"/>
    <w:rsid w:val="00A372E4"/>
    <w:rsid w:val="00A41F3E"/>
    <w:rsid w:val="00A771CD"/>
    <w:rsid w:val="00A86ED7"/>
    <w:rsid w:val="00A964A6"/>
    <w:rsid w:val="00A9759C"/>
    <w:rsid w:val="00AC5DAA"/>
    <w:rsid w:val="00B54CF7"/>
    <w:rsid w:val="00B71755"/>
    <w:rsid w:val="00B76ABE"/>
    <w:rsid w:val="00BA2943"/>
    <w:rsid w:val="00BC622C"/>
    <w:rsid w:val="00BD2E15"/>
    <w:rsid w:val="00BE0A06"/>
    <w:rsid w:val="00BF1F00"/>
    <w:rsid w:val="00C072A0"/>
    <w:rsid w:val="00C364CA"/>
    <w:rsid w:val="00C501C7"/>
    <w:rsid w:val="00C9542F"/>
    <w:rsid w:val="00CB562A"/>
    <w:rsid w:val="00CC6CAE"/>
    <w:rsid w:val="00CE42BE"/>
    <w:rsid w:val="00D06CFC"/>
    <w:rsid w:val="00D075CD"/>
    <w:rsid w:val="00D157BE"/>
    <w:rsid w:val="00D320F6"/>
    <w:rsid w:val="00D5166E"/>
    <w:rsid w:val="00DE66E9"/>
    <w:rsid w:val="00DF0076"/>
    <w:rsid w:val="00E75512"/>
    <w:rsid w:val="00F055F4"/>
    <w:rsid w:val="00F46521"/>
    <w:rsid w:val="00F52E79"/>
    <w:rsid w:val="00F659F5"/>
    <w:rsid w:val="00F92EE1"/>
    <w:rsid w:val="00FE57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CFC"/>
  </w:style>
  <w:style w:type="paragraph" w:styleId="Heading1">
    <w:name w:val="heading 1"/>
    <w:basedOn w:val="Normal"/>
    <w:next w:val="Normal"/>
    <w:link w:val="Heading1Char"/>
    <w:uiPriority w:val="9"/>
    <w:qFormat/>
    <w:rsid w:val="00D06CF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06CF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06CF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06CF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06CF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06CF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06CF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06CF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06CF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CFC"/>
    <w:rPr>
      <w:rFonts w:asciiTheme="majorHAnsi" w:eastAsiaTheme="majorEastAsia" w:hAnsiTheme="majorHAnsi" w:cstheme="majorBidi"/>
      <w:b/>
      <w:bCs/>
      <w:sz w:val="28"/>
      <w:szCs w:val="28"/>
    </w:rPr>
  </w:style>
  <w:style w:type="paragraph" w:styleId="BalloonText">
    <w:name w:val="Balloon Text"/>
    <w:basedOn w:val="Normal"/>
    <w:link w:val="BalloonTextChar"/>
    <w:uiPriority w:val="99"/>
    <w:semiHidden/>
    <w:unhideWhenUsed/>
    <w:rsid w:val="00D07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5CD"/>
    <w:rPr>
      <w:rFonts w:ascii="Tahoma" w:hAnsi="Tahoma" w:cs="Tahoma"/>
      <w:sz w:val="16"/>
      <w:szCs w:val="16"/>
    </w:rPr>
  </w:style>
  <w:style w:type="character" w:styleId="Hyperlink">
    <w:name w:val="Hyperlink"/>
    <w:basedOn w:val="DefaultParagraphFont"/>
    <w:uiPriority w:val="99"/>
    <w:rsid w:val="002753C0"/>
    <w:rPr>
      <w:color w:val="0000FF"/>
      <w:u w:val="single"/>
    </w:rPr>
  </w:style>
  <w:style w:type="paragraph" w:styleId="NormalWeb">
    <w:name w:val="Normal (Web)"/>
    <w:basedOn w:val="Normal"/>
    <w:uiPriority w:val="99"/>
    <w:semiHidden/>
    <w:unhideWhenUsed/>
    <w:rsid w:val="00C072A0"/>
    <w:pPr>
      <w:spacing w:before="48" w:after="96" w:line="360" w:lineRule="auto"/>
      <w:ind w:right="1224"/>
    </w:pPr>
    <w:rPr>
      <w:rFonts w:ascii="Times New Roman" w:eastAsia="Times New Roman" w:hAnsi="Times New Roman" w:cs="Times New Roman"/>
      <w:sz w:val="24"/>
      <w:szCs w:val="24"/>
    </w:rPr>
  </w:style>
  <w:style w:type="paragraph" w:styleId="ListParagraph">
    <w:name w:val="List Paragraph"/>
    <w:basedOn w:val="Normal"/>
    <w:uiPriority w:val="34"/>
    <w:qFormat/>
    <w:rsid w:val="00D06CFC"/>
    <w:pPr>
      <w:ind w:left="720"/>
      <w:contextualSpacing/>
    </w:pPr>
  </w:style>
  <w:style w:type="paragraph" w:styleId="Header">
    <w:name w:val="header"/>
    <w:basedOn w:val="Normal"/>
    <w:link w:val="HeaderChar"/>
    <w:uiPriority w:val="99"/>
    <w:semiHidden/>
    <w:unhideWhenUsed/>
    <w:rsid w:val="009D70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70D3"/>
  </w:style>
  <w:style w:type="paragraph" w:styleId="Footer">
    <w:name w:val="footer"/>
    <w:basedOn w:val="Normal"/>
    <w:link w:val="FooterChar"/>
    <w:uiPriority w:val="99"/>
    <w:unhideWhenUsed/>
    <w:rsid w:val="009D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0D3"/>
  </w:style>
  <w:style w:type="table" w:styleId="TableGrid">
    <w:name w:val="Table Grid"/>
    <w:basedOn w:val="TableNormal"/>
    <w:uiPriority w:val="59"/>
    <w:rsid w:val="0050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06CF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06CF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06CF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06CF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06CF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06CF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06CF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06CF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06CF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06CF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06CF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06CFC"/>
    <w:rPr>
      <w:rFonts w:asciiTheme="majorHAnsi" w:eastAsiaTheme="majorEastAsia" w:hAnsiTheme="majorHAnsi" w:cstheme="majorBidi"/>
      <w:i/>
      <w:iCs/>
      <w:spacing w:val="13"/>
      <w:sz w:val="24"/>
      <w:szCs w:val="24"/>
    </w:rPr>
  </w:style>
  <w:style w:type="character" w:styleId="Strong">
    <w:name w:val="Strong"/>
    <w:uiPriority w:val="22"/>
    <w:qFormat/>
    <w:rsid w:val="00D06CFC"/>
    <w:rPr>
      <w:b/>
      <w:bCs/>
    </w:rPr>
  </w:style>
  <w:style w:type="character" w:styleId="Emphasis">
    <w:name w:val="Emphasis"/>
    <w:uiPriority w:val="20"/>
    <w:qFormat/>
    <w:rsid w:val="00D06CFC"/>
    <w:rPr>
      <w:b/>
      <w:bCs/>
      <w:i/>
      <w:iCs/>
      <w:spacing w:val="10"/>
      <w:bdr w:val="none" w:sz="0" w:space="0" w:color="auto"/>
      <w:shd w:val="clear" w:color="auto" w:fill="auto"/>
    </w:rPr>
  </w:style>
  <w:style w:type="paragraph" w:styleId="NoSpacing">
    <w:name w:val="No Spacing"/>
    <w:basedOn w:val="Normal"/>
    <w:uiPriority w:val="1"/>
    <w:qFormat/>
    <w:rsid w:val="00D06CFC"/>
    <w:pPr>
      <w:spacing w:after="0" w:line="240" w:lineRule="auto"/>
    </w:pPr>
  </w:style>
  <w:style w:type="paragraph" w:styleId="Quote">
    <w:name w:val="Quote"/>
    <w:basedOn w:val="Normal"/>
    <w:next w:val="Normal"/>
    <w:link w:val="QuoteChar"/>
    <w:uiPriority w:val="29"/>
    <w:qFormat/>
    <w:rsid w:val="00D06CFC"/>
    <w:pPr>
      <w:spacing w:before="200" w:after="0"/>
      <w:ind w:left="360" w:right="360"/>
    </w:pPr>
    <w:rPr>
      <w:i/>
      <w:iCs/>
    </w:rPr>
  </w:style>
  <w:style w:type="character" w:customStyle="1" w:styleId="QuoteChar">
    <w:name w:val="Quote Char"/>
    <w:basedOn w:val="DefaultParagraphFont"/>
    <w:link w:val="Quote"/>
    <w:uiPriority w:val="29"/>
    <w:rsid w:val="00D06CFC"/>
    <w:rPr>
      <w:i/>
      <w:iCs/>
    </w:rPr>
  </w:style>
  <w:style w:type="paragraph" w:styleId="IntenseQuote">
    <w:name w:val="Intense Quote"/>
    <w:basedOn w:val="Normal"/>
    <w:next w:val="Normal"/>
    <w:link w:val="IntenseQuoteChar"/>
    <w:uiPriority w:val="30"/>
    <w:qFormat/>
    <w:rsid w:val="00D06CF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06CFC"/>
    <w:rPr>
      <w:b/>
      <w:bCs/>
      <w:i/>
      <w:iCs/>
    </w:rPr>
  </w:style>
  <w:style w:type="character" w:styleId="SubtleEmphasis">
    <w:name w:val="Subtle Emphasis"/>
    <w:uiPriority w:val="19"/>
    <w:qFormat/>
    <w:rsid w:val="00D06CFC"/>
    <w:rPr>
      <w:i/>
      <w:iCs/>
    </w:rPr>
  </w:style>
  <w:style w:type="character" w:styleId="IntenseEmphasis">
    <w:name w:val="Intense Emphasis"/>
    <w:uiPriority w:val="21"/>
    <w:qFormat/>
    <w:rsid w:val="00D06CFC"/>
    <w:rPr>
      <w:b/>
      <w:bCs/>
    </w:rPr>
  </w:style>
  <w:style w:type="character" w:styleId="SubtleReference">
    <w:name w:val="Subtle Reference"/>
    <w:uiPriority w:val="31"/>
    <w:qFormat/>
    <w:rsid w:val="00D06CFC"/>
    <w:rPr>
      <w:smallCaps/>
    </w:rPr>
  </w:style>
  <w:style w:type="character" w:styleId="IntenseReference">
    <w:name w:val="Intense Reference"/>
    <w:uiPriority w:val="32"/>
    <w:qFormat/>
    <w:rsid w:val="00D06CFC"/>
    <w:rPr>
      <w:smallCaps/>
      <w:spacing w:val="5"/>
      <w:u w:val="single"/>
    </w:rPr>
  </w:style>
  <w:style w:type="character" w:styleId="BookTitle">
    <w:name w:val="Book Title"/>
    <w:uiPriority w:val="33"/>
    <w:qFormat/>
    <w:rsid w:val="00D06CFC"/>
    <w:rPr>
      <w:i/>
      <w:iCs/>
      <w:smallCaps/>
      <w:spacing w:val="5"/>
    </w:rPr>
  </w:style>
  <w:style w:type="paragraph" w:styleId="TOCHeading">
    <w:name w:val="TOC Heading"/>
    <w:basedOn w:val="Heading1"/>
    <w:next w:val="Normal"/>
    <w:uiPriority w:val="39"/>
    <w:semiHidden/>
    <w:unhideWhenUsed/>
    <w:qFormat/>
    <w:rsid w:val="00D06CFC"/>
    <w:pPr>
      <w:outlineLvl w:val="9"/>
    </w:pPr>
  </w:style>
  <w:style w:type="paragraph" w:styleId="TOC1">
    <w:name w:val="toc 1"/>
    <w:basedOn w:val="Normal"/>
    <w:next w:val="Normal"/>
    <w:autoRedefine/>
    <w:uiPriority w:val="39"/>
    <w:unhideWhenUsed/>
    <w:rsid w:val="00BF1F00"/>
    <w:pPr>
      <w:spacing w:after="100"/>
    </w:pPr>
  </w:style>
  <w:style w:type="paragraph" w:styleId="TOC2">
    <w:name w:val="toc 2"/>
    <w:basedOn w:val="Normal"/>
    <w:next w:val="Normal"/>
    <w:autoRedefine/>
    <w:uiPriority w:val="39"/>
    <w:unhideWhenUsed/>
    <w:rsid w:val="00BF1F00"/>
    <w:pPr>
      <w:spacing w:after="100"/>
      <w:ind w:left="220"/>
    </w:pPr>
  </w:style>
</w:styles>
</file>

<file path=word/webSettings.xml><?xml version="1.0" encoding="utf-8"?>
<w:webSettings xmlns:r="http://schemas.openxmlformats.org/officeDocument/2006/relationships" xmlns:w="http://schemas.openxmlformats.org/wordprocessingml/2006/main">
  <w:divs>
    <w:div w:id="1550805280">
      <w:bodyDiv w:val="1"/>
      <w:marLeft w:val="0"/>
      <w:marRight w:val="0"/>
      <w:marTop w:val="0"/>
      <w:marBottom w:val="0"/>
      <w:divBdr>
        <w:top w:val="none" w:sz="0" w:space="0" w:color="auto"/>
        <w:left w:val="none" w:sz="0" w:space="0" w:color="auto"/>
        <w:bottom w:val="none" w:sz="0" w:space="0" w:color="auto"/>
        <w:right w:val="none" w:sz="0" w:space="0" w:color="auto"/>
      </w:divBdr>
    </w:div>
    <w:div w:id="1596550252">
      <w:bodyDiv w:val="1"/>
      <w:marLeft w:val="0"/>
      <w:marRight w:val="0"/>
      <w:marTop w:val="0"/>
      <w:marBottom w:val="0"/>
      <w:divBdr>
        <w:top w:val="none" w:sz="0" w:space="0" w:color="auto"/>
        <w:left w:val="none" w:sz="0" w:space="0" w:color="auto"/>
        <w:bottom w:val="none" w:sz="0" w:space="0" w:color="auto"/>
        <w:right w:val="none" w:sz="0" w:space="0" w:color="auto"/>
      </w:divBdr>
      <w:divsChild>
        <w:div w:id="1457524346">
          <w:marLeft w:val="0"/>
          <w:marRight w:val="0"/>
          <w:marTop w:val="0"/>
          <w:marBottom w:val="0"/>
          <w:divBdr>
            <w:top w:val="none" w:sz="0" w:space="0" w:color="auto"/>
            <w:left w:val="none" w:sz="0" w:space="0" w:color="auto"/>
            <w:bottom w:val="none" w:sz="0" w:space="0" w:color="auto"/>
            <w:right w:val="none" w:sz="0" w:space="0" w:color="auto"/>
          </w:divBdr>
          <w:divsChild>
            <w:div w:id="790827425">
              <w:marLeft w:val="0"/>
              <w:marRight w:val="0"/>
              <w:marTop w:val="0"/>
              <w:marBottom w:val="0"/>
              <w:divBdr>
                <w:top w:val="single" w:sz="4" w:space="0" w:color="333333"/>
                <w:left w:val="single" w:sz="4" w:space="0" w:color="333333"/>
                <w:bottom w:val="single" w:sz="4" w:space="18" w:color="333333"/>
                <w:right w:val="single" w:sz="4" w:space="0" w:color="333333"/>
              </w:divBdr>
              <w:divsChild>
                <w:div w:id="1737313166">
                  <w:marLeft w:val="1524"/>
                  <w:marRight w:val="348"/>
                  <w:marTop w:val="2364"/>
                  <w:marBottom w:val="0"/>
                  <w:divBdr>
                    <w:top w:val="single" w:sz="4" w:space="7" w:color="ADADAD"/>
                    <w:left w:val="single" w:sz="4" w:space="6" w:color="ADADAD"/>
                    <w:bottom w:val="single" w:sz="4" w:space="18" w:color="ADADAD"/>
                    <w:right w:val="single" w:sz="4" w:space="12" w:color="ADADAD"/>
                  </w:divBdr>
                </w:div>
              </w:divsChild>
            </w:div>
          </w:divsChild>
        </w:div>
      </w:divsChild>
    </w:div>
    <w:div w:id="1644843789">
      <w:bodyDiv w:val="1"/>
      <w:marLeft w:val="0"/>
      <w:marRight w:val="0"/>
      <w:marTop w:val="0"/>
      <w:marBottom w:val="0"/>
      <w:divBdr>
        <w:top w:val="none" w:sz="0" w:space="0" w:color="auto"/>
        <w:left w:val="none" w:sz="0" w:space="0" w:color="auto"/>
        <w:bottom w:val="none" w:sz="0" w:space="0" w:color="auto"/>
        <w:right w:val="none" w:sz="0" w:space="0" w:color="auto"/>
      </w:divBdr>
    </w:div>
    <w:div w:id="1844738215">
      <w:bodyDiv w:val="1"/>
      <w:marLeft w:val="0"/>
      <w:marRight w:val="0"/>
      <w:marTop w:val="0"/>
      <w:marBottom w:val="0"/>
      <w:divBdr>
        <w:top w:val="none" w:sz="0" w:space="0" w:color="auto"/>
        <w:left w:val="none" w:sz="0" w:space="0" w:color="auto"/>
        <w:bottom w:val="none" w:sz="0" w:space="0" w:color="auto"/>
        <w:right w:val="none" w:sz="0" w:space="0" w:color="auto"/>
      </w:divBdr>
      <w:divsChild>
        <w:div w:id="190844254">
          <w:marLeft w:val="0"/>
          <w:marRight w:val="0"/>
          <w:marTop w:val="0"/>
          <w:marBottom w:val="0"/>
          <w:divBdr>
            <w:top w:val="none" w:sz="0" w:space="0" w:color="auto"/>
            <w:left w:val="none" w:sz="0" w:space="0" w:color="auto"/>
            <w:bottom w:val="none" w:sz="0" w:space="0" w:color="auto"/>
            <w:right w:val="none" w:sz="0" w:space="0" w:color="auto"/>
          </w:divBdr>
          <w:divsChild>
            <w:div w:id="1901207217">
              <w:marLeft w:val="0"/>
              <w:marRight w:val="0"/>
              <w:marTop w:val="0"/>
              <w:marBottom w:val="0"/>
              <w:divBdr>
                <w:top w:val="single" w:sz="4" w:space="0" w:color="333333"/>
                <w:left w:val="single" w:sz="4" w:space="0" w:color="333333"/>
                <w:bottom w:val="single" w:sz="4" w:space="18" w:color="333333"/>
                <w:right w:val="single" w:sz="4" w:space="0" w:color="333333"/>
              </w:divBdr>
              <w:divsChild>
                <w:div w:id="1678848200">
                  <w:marLeft w:val="1524"/>
                  <w:marRight w:val="348"/>
                  <w:marTop w:val="2364"/>
                  <w:marBottom w:val="0"/>
                  <w:divBdr>
                    <w:top w:val="single" w:sz="4" w:space="7" w:color="ADADAD"/>
                    <w:left w:val="single" w:sz="4" w:space="6" w:color="ADADAD"/>
                    <w:bottom w:val="single" w:sz="4" w:space="18" w:color="ADADAD"/>
                    <w:right w:val="single" w:sz="4" w:space="12" w:color="ADADAD"/>
                  </w:divBdr>
                </w:div>
              </w:divsChild>
            </w:div>
          </w:divsChild>
        </w:div>
      </w:divsChild>
    </w:div>
    <w:div w:id="1963535930">
      <w:bodyDiv w:val="1"/>
      <w:marLeft w:val="0"/>
      <w:marRight w:val="0"/>
      <w:marTop w:val="0"/>
      <w:marBottom w:val="0"/>
      <w:divBdr>
        <w:top w:val="none" w:sz="0" w:space="0" w:color="auto"/>
        <w:left w:val="none" w:sz="0" w:space="0" w:color="auto"/>
        <w:bottom w:val="none" w:sz="0" w:space="0" w:color="auto"/>
        <w:right w:val="none" w:sz="0" w:space="0" w:color="auto"/>
      </w:divBdr>
      <w:divsChild>
        <w:div w:id="284308617">
          <w:marLeft w:val="0"/>
          <w:marRight w:val="0"/>
          <w:marTop w:val="0"/>
          <w:marBottom w:val="0"/>
          <w:divBdr>
            <w:top w:val="none" w:sz="0" w:space="0" w:color="auto"/>
            <w:left w:val="none" w:sz="0" w:space="0" w:color="auto"/>
            <w:bottom w:val="none" w:sz="0" w:space="0" w:color="auto"/>
            <w:right w:val="none" w:sz="0" w:space="0" w:color="auto"/>
          </w:divBdr>
          <w:divsChild>
            <w:div w:id="1225720429">
              <w:marLeft w:val="0"/>
              <w:marRight w:val="0"/>
              <w:marTop w:val="0"/>
              <w:marBottom w:val="0"/>
              <w:divBdr>
                <w:top w:val="single" w:sz="4" w:space="0" w:color="333333"/>
                <w:left w:val="single" w:sz="4" w:space="0" w:color="333333"/>
                <w:bottom w:val="single" w:sz="4" w:space="18" w:color="333333"/>
                <w:right w:val="single" w:sz="4" w:space="0" w:color="333333"/>
              </w:divBdr>
              <w:divsChild>
                <w:div w:id="1425881808">
                  <w:marLeft w:val="1524"/>
                  <w:marRight w:val="348"/>
                  <w:marTop w:val="2364"/>
                  <w:marBottom w:val="0"/>
                  <w:divBdr>
                    <w:top w:val="single" w:sz="4" w:space="7" w:color="ADADAD"/>
                    <w:left w:val="single" w:sz="4" w:space="6" w:color="ADADAD"/>
                    <w:bottom w:val="single" w:sz="4" w:space="18" w:color="ADADAD"/>
                    <w:right w:val="single" w:sz="4" w:space="12" w:color="ADADAD"/>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tulsacleanciti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02DF0-4B83-4B8F-BD85-08E55594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2897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Page 1</Company>
  <LinksUpToDate>false</LinksUpToDate>
  <CharactersWithSpaces>19377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mwebber</dc:creator>
  <cp:keywords/>
  <dc:description/>
  <cp:lastModifiedBy>ajaynes</cp:lastModifiedBy>
  <cp:revision>10</cp:revision>
  <cp:lastPrinted>2011-12-13T19:34:00Z</cp:lastPrinted>
  <dcterms:created xsi:type="dcterms:W3CDTF">2011-12-08T16:20:00Z</dcterms:created>
  <dcterms:modified xsi:type="dcterms:W3CDTF">2011-12-15T23:17:00Z</dcterms:modified>
</cp:coreProperties>
</file>